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A88F" w14:textId="6CF2F8C9" w:rsidR="009A3FF3" w:rsidRDefault="009A3FF3" w:rsidP="00A958F2">
      <w:pPr>
        <w:spacing w:line="276" w:lineRule="auto"/>
        <w:jc w:val="both"/>
      </w:pPr>
    </w:p>
    <w:p w14:paraId="403F3533" w14:textId="77777777" w:rsidR="00284E84" w:rsidRDefault="00284E84" w:rsidP="00A958F2">
      <w:pPr>
        <w:spacing w:line="276" w:lineRule="auto"/>
        <w:jc w:val="both"/>
      </w:pPr>
    </w:p>
    <w:p w14:paraId="662D631E" w14:textId="77777777" w:rsidR="000055CC" w:rsidRDefault="00F35A44" w:rsidP="00A958F2">
      <w:pPr>
        <w:spacing w:line="276" w:lineRule="auto"/>
        <w:jc w:val="both"/>
      </w:pPr>
      <w:r>
        <w:rPr>
          <w:b/>
          <w:noProof/>
          <w:sz w:val="28"/>
          <w:szCs w:val="28"/>
          <w:lang w:eastAsia="en-GB"/>
        </w:rPr>
        <w:drawing>
          <wp:anchor distT="0" distB="0" distL="114300" distR="114300" simplePos="0" relativeHeight="251655680" behindDoc="0" locked="0" layoutInCell="1" allowOverlap="1" wp14:anchorId="11E90203" wp14:editId="740EBB60">
            <wp:simplePos x="0" y="0"/>
            <wp:positionH relativeFrom="column">
              <wp:posOffset>3456749</wp:posOffset>
            </wp:positionH>
            <wp:positionV relativeFrom="margin">
              <wp:align>top</wp:align>
            </wp:positionV>
            <wp:extent cx="2438400" cy="13411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_DSB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1341120"/>
                    </a:xfrm>
                    <a:prstGeom prst="rect">
                      <a:avLst/>
                    </a:prstGeom>
                  </pic:spPr>
                </pic:pic>
              </a:graphicData>
            </a:graphic>
          </wp:anchor>
        </w:drawing>
      </w:r>
    </w:p>
    <w:p w14:paraId="764068B0" w14:textId="77777777" w:rsidR="00F35A44" w:rsidRDefault="00F35A44" w:rsidP="00A958F2">
      <w:pPr>
        <w:spacing w:line="276" w:lineRule="auto"/>
        <w:jc w:val="both"/>
      </w:pPr>
    </w:p>
    <w:p w14:paraId="588B5A2E" w14:textId="77777777" w:rsidR="000B4A18" w:rsidRPr="000B7CB3" w:rsidRDefault="000B4A18" w:rsidP="005130F3">
      <w:pPr>
        <w:spacing w:line="276" w:lineRule="auto"/>
        <w:jc w:val="center"/>
        <w:rPr>
          <w:b/>
          <w:sz w:val="40"/>
        </w:rPr>
      </w:pPr>
      <w:r w:rsidRPr="000B7CB3">
        <w:rPr>
          <w:b/>
          <w:sz w:val="40"/>
        </w:rPr>
        <w:t>D</w:t>
      </w:r>
      <w:r>
        <w:rPr>
          <w:b/>
          <w:sz w:val="40"/>
        </w:rPr>
        <w:t xml:space="preserve">erivatives </w:t>
      </w:r>
      <w:r w:rsidRPr="000B7CB3">
        <w:rPr>
          <w:b/>
          <w:sz w:val="40"/>
        </w:rPr>
        <w:t>S</w:t>
      </w:r>
      <w:r>
        <w:rPr>
          <w:b/>
          <w:sz w:val="40"/>
        </w:rPr>
        <w:t xml:space="preserve">ervice </w:t>
      </w:r>
      <w:r w:rsidRPr="000B7CB3">
        <w:rPr>
          <w:b/>
          <w:sz w:val="40"/>
        </w:rPr>
        <w:t>B</w:t>
      </w:r>
      <w:r>
        <w:rPr>
          <w:b/>
          <w:sz w:val="40"/>
        </w:rPr>
        <w:t>ureau</w:t>
      </w:r>
    </w:p>
    <w:p w14:paraId="750F8B72" w14:textId="171A49E8" w:rsidR="000B4A18" w:rsidRDefault="000B4A18" w:rsidP="0062624D">
      <w:pPr>
        <w:spacing w:line="276" w:lineRule="auto"/>
        <w:ind w:left="426" w:right="379"/>
        <w:jc w:val="center"/>
        <w:rPr>
          <w:sz w:val="36"/>
        </w:rPr>
      </w:pPr>
      <w:r>
        <w:rPr>
          <w:sz w:val="36"/>
        </w:rPr>
        <w:t xml:space="preserve">Industry Views Sought on </w:t>
      </w:r>
      <w:r w:rsidR="00154ECC">
        <w:rPr>
          <w:sz w:val="36"/>
        </w:rPr>
        <w:t xml:space="preserve">the Principles Underlying the </w:t>
      </w:r>
      <w:r w:rsidR="0062624D">
        <w:rPr>
          <w:sz w:val="36"/>
        </w:rPr>
        <w:t xml:space="preserve">Fee Model for the </w:t>
      </w:r>
      <w:r w:rsidR="00154ECC">
        <w:rPr>
          <w:sz w:val="36"/>
        </w:rPr>
        <w:t>U</w:t>
      </w:r>
      <w:r w:rsidR="009E3845">
        <w:rPr>
          <w:sz w:val="36"/>
        </w:rPr>
        <w:t xml:space="preserve">nique </w:t>
      </w:r>
      <w:r w:rsidR="00154ECC">
        <w:rPr>
          <w:sz w:val="36"/>
        </w:rPr>
        <w:t>P</w:t>
      </w:r>
      <w:r w:rsidR="009E3845">
        <w:rPr>
          <w:sz w:val="36"/>
        </w:rPr>
        <w:t xml:space="preserve">roduct </w:t>
      </w:r>
      <w:r w:rsidR="00154ECC">
        <w:rPr>
          <w:sz w:val="36"/>
        </w:rPr>
        <w:t>I</w:t>
      </w:r>
      <w:r w:rsidR="009E3845">
        <w:rPr>
          <w:sz w:val="36"/>
        </w:rPr>
        <w:t>dentifier</w:t>
      </w:r>
      <w:r w:rsidR="00154ECC">
        <w:rPr>
          <w:sz w:val="36"/>
        </w:rPr>
        <w:t xml:space="preserve"> </w:t>
      </w:r>
      <w:r w:rsidR="0062624D">
        <w:rPr>
          <w:sz w:val="36"/>
        </w:rPr>
        <w:t>Service</w:t>
      </w:r>
    </w:p>
    <w:p w14:paraId="70659477" w14:textId="77777777" w:rsidR="000B4A18" w:rsidRDefault="000B4A18" w:rsidP="00D43A80">
      <w:pPr>
        <w:spacing w:line="276" w:lineRule="auto"/>
        <w:jc w:val="center"/>
        <w:rPr>
          <w:sz w:val="36"/>
        </w:rPr>
      </w:pPr>
    </w:p>
    <w:p w14:paraId="03FD8368" w14:textId="77777777" w:rsidR="000B4A18" w:rsidRPr="002E5CA7" w:rsidRDefault="000B4A18" w:rsidP="00FB0431">
      <w:pPr>
        <w:spacing w:line="276" w:lineRule="auto"/>
        <w:jc w:val="center"/>
        <w:rPr>
          <w:b/>
          <w:sz w:val="40"/>
        </w:rPr>
      </w:pPr>
      <w:r w:rsidRPr="002E5CA7">
        <w:rPr>
          <w:b/>
          <w:sz w:val="40"/>
        </w:rPr>
        <w:t>Consultation Paper</w:t>
      </w:r>
    </w:p>
    <w:p w14:paraId="1DB5E605" w14:textId="77777777" w:rsidR="007877C9" w:rsidRDefault="0033640D" w:rsidP="0051752C">
      <w:pPr>
        <w:spacing w:line="276" w:lineRule="auto"/>
        <w:jc w:val="center"/>
        <w:rPr>
          <w:sz w:val="28"/>
        </w:rPr>
      </w:pPr>
      <w:r>
        <w:rPr>
          <w:sz w:val="28"/>
        </w:rPr>
        <w:t>11</w:t>
      </w:r>
      <w:r w:rsidR="00154ECC" w:rsidRPr="00154ECC">
        <w:rPr>
          <w:sz w:val="28"/>
          <w:vertAlign w:val="superscript"/>
        </w:rPr>
        <w:t>th</w:t>
      </w:r>
      <w:r w:rsidR="00154ECC">
        <w:rPr>
          <w:sz w:val="28"/>
        </w:rPr>
        <w:t xml:space="preserve"> January 2021</w:t>
      </w:r>
    </w:p>
    <w:p w14:paraId="28FF7126" w14:textId="77777777" w:rsidR="007877C9" w:rsidRDefault="007877C9" w:rsidP="0051752C">
      <w:pPr>
        <w:spacing w:line="276" w:lineRule="auto"/>
        <w:jc w:val="center"/>
        <w:rPr>
          <w:sz w:val="28"/>
        </w:rPr>
      </w:pPr>
    </w:p>
    <w:p w14:paraId="2FA6EF18" w14:textId="37CA0268" w:rsidR="000B4A18" w:rsidRDefault="000B4A18" w:rsidP="0051752C">
      <w:pPr>
        <w:spacing w:line="276" w:lineRule="auto"/>
        <w:jc w:val="center"/>
      </w:pPr>
      <w:r>
        <w:br w:type="page"/>
      </w:r>
    </w:p>
    <w:p w14:paraId="322F3C0B" w14:textId="77777777" w:rsidR="000B4A18" w:rsidRDefault="000B4A18" w:rsidP="0051752C">
      <w:pPr>
        <w:spacing w:line="276" w:lineRule="auto"/>
        <w:jc w:val="both"/>
      </w:pPr>
      <w:r>
        <w:lastRenderedPageBreak/>
        <w:t xml:space="preserve">  </w:t>
      </w:r>
    </w:p>
    <w:p w14:paraId="591F410B" w14:textId="7CB34FD3" w:rsidR="000B4A18" w:rsidRPr="003B1848" w:rsidRDefault="000B4A18" w:rsidP="007C0DF6">
      <w:pPr>
        <w:pStyle w:val="TOCHeading"/>
        <w:spacing w:before="0" w:line="276" w:lineRule="auto"/>
        <w:jc w:val="both"/>
        <w:rPr>
          <w:color w:val="30AEB9"/>
        </w:rPr>
      </w:pPr>
      <w:r w:rsidRPr="003B1848">
        <w:rPr>
          <w:color w:val="30AEB9"/>
        </w:rPr>
        <w:t>Contents</w:t>
      </w:r>
    </w:p>
    <w:p w14:paraId="3B6FD625" w14:textId="222D0C55" w:rsidR="003A2856" w:rsidRDefault="000B4A18">
      <w:pPr>
        <w:pStyle w:val="TOC1"/>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61255914" w:history="1">
        <w:r w:rsidR="003A2856" w:rsidRPr="00561E94">
          <w:rPr>
            <w:rStyle w:val="Hyperlink"/>
            <w:noProof/>
          </w:rPr>
          <w:t>1</w:t>
        </w:r>
        <w:r w:rsidR="003A2856">
          <w:rPr>
            <w:rFonts w:eastAsiaTheme="minorEastAsia"/>
            <w:noProof/>
            <w:lang w:eastAsia="en-GB"/>
          </w:rPr>
          <w:tab/>
        </w:r>
        <w:r w:rsidR="003A2856" w:rsidRPr="00561E94">
          <w:rPr>
            <w:rStyle w:val="Hyperlink"/>
            <w:noProof/>
          </w:rPr>
          <w:t>Executive Summary</w:t>
        </w:r>
        <w:r w:rsidR="003A2856">
          <w:rPr>
            <w:noProof/>
            <w:webHidden/>
          </w:rPr>
          <w:tab/>
        </w:r>
        <w:r w:rsidR="003A2856">
          <w:rPr>
            <w:noProof/>
            <w:webHidden/>
          </w:rPr>
          <w:fldChar w:fldCharType="begin"/>
        </w:r>
        <w:r w:rsidR="003A2856">
          <w:rPr>
            <w:noProof/>
            <w:webHidden/>
          </w:rPr>
          <w:instrText xml:space="preserve"> PAGEREF _Toc61255914 \h </w:instrText>
        </w:r>
        <w:r w:rsidR="003A2856">
          <w:rPr>
            <w:noProof/>
            <w:webHidden/>
          </w:rPr>
        </w:r>
        <w:r w:rsidR="003A2856">
          <w:rPr>
            <w:noProof/>
            <w:webHidden/>
          </w:rPr>
          <w:fldChar w:fldCharType="separate"/>
        </w:r>
        <w:r w:rsidR="003A2856">
          <w:rPr>
            <w:noProof/>
            <w:webHidden/>
          </w:rPr>
          <w:t>3</w:t>
        </w:r>
        <w:r w:rsidR="003A2856">
          <w:rPr>
            <w:noProof/>
            <w:webHidden/>
          </w:rPr>
          <w:fldChar w:fldCharType="end"/>
        </w:r>
      </w:hyperlink>
    </w:p>
    <w:p w14:paraId="4C77138C" w14:textId="7E9D9122" w:rsidR="003A2856" w:rsidRDefault="003A2856">
      <w:pPr>
        <w:pStyle w:val="TOC1"/>
        <w:rPr>
          <w:rFonts w:eastAsiaTheme="minorEastAsia"/>
          <w:noProof/>
          <w:lang w:eastAsia="en-GB"/>
        </w:rPr>
      </w:pPr>
      <w:hyperlink w:anchor="_Toc61255915" w:history="1">
        <w:r w:rsidRPr="00561E94">
          <w:rPr>
            <w:rStyle w:val="Hyperlink"/>
            <w:noProof/>
          </w:rPr>
          <w:t>2</w:t>
        </w:r>
        <w:r>
          <w:rPr>
            <w:rFonts w:eastAsiaTheme="minorEastAsia"/>
            <w:noProof/>
            <w:lang w:eastAsia="en-GB"/>
          </w:rPr>
          <w:tab/>
        </w:r>
        <w:r w:rsidRPr="00561E94">
          <w:rPr>
            <w:rStyle w:val="Hyperlink"/>
            <w:noProof/>
          </w:rPr>
          <w:t>Consultation Timeline</w:t>
        </w:r>
        <w:r>
          <w:rPr>
            <w:noProof/>
            <w:webHidden/>
          </w:rPr>
          <w:tab/>
        </w:r>
        <w:r>
          <w:rPr>
            <w:noProof/>
            <w:webHidden/>
          </w:rPr>
          <w:fldChar w:fldCharType="begin"/>
        </w:r>
        <w:r>
          <w:rPr>
            <w:noProof/>
            <w:webHidden/>
          </w:rPr>
          <w:instrText xml:space="preserve"> PAGEREF _Toc61255915 \h </w:instrText>
        </w:r>
        <w:r>
          <w:rPr>
            <w:noProof/>
            <w:webHidden/>
          </w:rPr>
        </w:r>
        <w:r>
          <w:rPr>
            <w:noProof/>
            <w:webHidden/>
          </w:rPr>
          <w:fldChar w:fldCharType="separate"/>
        </w:r>
        <w:r>
          <w:rPr>
            <w:noProof/>
            <w:webHidden/>
          </w:rPr>
          <w:t>4</w:t>
        </w:r>
        <w:r>
          <w:rPr>
            <w:noProof/>
            <w:webHidden/>
          </w:rPr>
          <w:fldChar w:fldCharType="end"/>
        </w:r>
      </w:hyperlink>
    </w:p>
    <w:p w14:paraId="0F35ADFD" w14:textId="5E8B03FF" w:rsidR="003A2856" w:rsidRDefault="003A2856">
      <w:pPr>
        <w:pStyle w:val="TOC1"/>
        <w:rPr>
          <w:rFonts w:eastAsiaTheme="minorEastAsia"/>
          <w:noProof/>
          <w:lang w:eastAsia="en-GB"/>
        </w:rPr>
      </w:pPr>
      <w:hyperlink w:anchor="_Toc61255916" w:history="1">
        <w:r w:rsidRPr="00561E94">
          <w:rPr>
            <w:rStyle w:val="Hyperlink"/>
            <w:noProof/>
          </w:rPr>
          <w:t>3</w:t>
        </w:r>
        <w:r>
          <w:rPr>
            <w:rFonts w:eastAsiaTheme="minorEastAsia"/>
            <w:noProof/>
            <w:lang w:eastAsia="en-GB"/>
          </w:rPr>
          <w:tab/>
        </w:r>
        <w:r w:rsidRPr="00561E94">
          <w:rPr>
            <w:rStyle w:val="Hyperlink"/>
            <w:noProof/>
          </w:rPr>
          <w:t>UPI Overview</w:t>
        </w:r>
        <w:r>
          <w:rPr>
            <w:noProof/>
            <w:webHidden/>
          </w:rPr>
          <w:tab/>
        </w:r>
        <w:r>
          <w:rPr>
            <w:noProof/>
            <w:webHidden/>
          </w:rPr>
          <w:fldChar w:fldCharType="begin"/>
        </w:r>
        <w:r>
          <w:rPr>
            <w:noProof/>
            <w:webHidden/>
          </w:rPr>
          <w:instrText xml:space="preserve"> PAGEREF _Toc61255916 \h </w:instrText>
        </w:r>
        <w:r>
          <w:rPr>
            <w:noProof/>
            <w:webHidden/>
          </w:rPr>
        </w:r>
        <w:r>
          <w:rPr>
            <w:noProof/>
            <w:webHidden/>
          </w:rPr>
          <w:fldChar w:fldCharType="separate"/>
        </w:r>
        <w:r>
          <w:rPr>
            <w:noProof/>
            <w:webHidden/>
          </w:rPr>
          <w:t>4</w:t>
        </w:r>
        <w:r>
          <w:rPr>
            <w:noProof/>
            <w:webHidden/>
          </w:rPr>
          <w:fldChar w:fldCharType="end"/>
        </w:r>
      </w:hyperlink>
    </w:p>
    <w:p w14:paraId="19608B5E" w14:textId="0C4414F6" w:rsidR="003A2856" w:rsidRDefault="003A2856">
      <w:pPr>
        <w:pStyle w:val="TOC2"/>
        <w:rPr>
          <w:rFonts w:eastAsiaTheme="minorEastAsia"/>
          <w:noProof/>
          <w:lang w:eastAsia="en-GB"/>
        </w:rPr>
      </w:pPr>
      <w:hyperlink w:anchor="_Toc61255917" w:history="1">
        <w:r w:rsidRPr="00561E94">
          <w:rPr>
            <w:rStyle w:val="Hyperlink"/>
            <w:noProof/>
          </w:rPr>
          <w:t>3.1</w:t>
        </w:r>
        <w:r>
          <w:rPr>
            <w:rFonts w:eastAsiaTheme="minorEastAsia"/>
            <w:noProof/>
            <w:lang w:eastAsia="en-GB"/>
          </w:rPr>
          <w:tab/>
        </w:r>
        <w:r w:rsidRPr="00561E94">
          <w:rPr>
            <w:rStyle w:val="Hyperlink"/>
            <w:noProof/>
          </w:rPr>
          <w:t>Purpose of the UPI</w:t>
        </w:r>
        <w:r>
          <w:rPr>
            <w:noProof/>
            <w:webHidden/>
          </w:rPr>
          <w:tab/>
        </w:r>
        <w:r>
          <w:rPr>
            <w:noProof/>
            <w:webHidden/>
          </w:rPr>
          <w:fldChar w:fldCharType="begin"/>
        </w:r>
        <w:r>
          <w:rPr>
            <w:noProof/>
            <w:webHidden/>
          </w:rPr>
          <w:instrText xml:space="preserve"> PAGEREF _Toc61255917 \h </w:instrText>
        </w:r>
        <w:r>
          <w:rPr>
            <w:noProof/>
            <w:webHidden/>
          </w:rPr>
        </w:r>
        <w:r>
          <w:rPr>
            <w:noProof/>
            <w:webHidden/>
          </w:rPr>
          <w:fldChar w:fldCharType="separate"/>
        </w:r>
        <w:r>
          <w:rPr>
            <w:noProof/>
            <w:webHidden/>
          </w:rPr>
          <w:t>4</w:t>
        </w:r>
        <w:r>
          <w:rPr>
            <w:noProof/>
            <w:webHidden/>
          </w:rPr>
          <w:fldChar w:fldCharType="end"/>
        </w:r>
      </w:hyperlink>
    </w:p>
    <w:p w14:paraId="27CF616D" w14:textId="701680E6" w:rsidR="003A2856" w:rsidRDefault="003A2856">
      <w:pPr>
        <w:pStyle w:val="TOC2"/>
        <w:rPr>
          <w:rFonts w:eastAsiaTheme="minorEastAsia"/>
          <w:noProof/>
          <w:lang w:eastAsia="en-GB"/>
        </w:rPr>
      </w:pPr>
      <w:hyperlink w:anchor="_Toc61255918" w:history="1">
        <w:r w:rsidRPr="00561E94">
          <w:rPr>
            <w:rStyle w:val="Hyperlink"/>
            <w:noProof/>
          </w:rPr>
          <w:t>3.2</w:t>
        </w:r>
        <w:r>
          <w:rPr>
            <w:rFonts w:eastAsiaTheme="minorEastAsia"/>
            <w:noProof/>
            <w:lang w:eastAsia="en-GB"/>
          </w:rPr>
          <w:tab/>
        </w:r>
        <w:r w:rsidRPr="00561E94">
          <w:rPr>
            <w:rStyle w:val="Hyperlink"/>
            <w:noProof/>
          </w:rPr>
          <w:t>Governance Arrangements</w:t>
        </w:r>
        <w:r>
          <w:rPr>
            <w:noProof/>
            <w:webHidden/>
          </w:rPr>
          <w:tab/>
        </w:r>
        <w:r>
          <w:rPr>
            <w:noProof/>
            <w:webHidden/>
          </w:rPr>
          <w:fldChar w:fldCharType="begin"/>
        </w:r>
        <w:r>
          <w:rPr>
            <w:noProof/>
            <w:webHidden/>
          </w:rPr>
          <w:instrText xml:space="preserve"> PAGEREF _Toc61255918 \h </w:instrText>
        </w:r>
        <w:r>
          <w:rPr>
            <w:noProof/>
            <w:webHidden/>
          </w:rPr>
        </w:r>
        <w:r>
          <w:rPr>
            <w:noProof/>
            <w:webHidden/>
          </w:rPr>
          <w:fldChar w:fldCharType="separate"/>
        </w:r>
        <w:r>
          <w:rPr>
            <w:noProof/>
            <w:webHidden/>
          </w:rPr>
          <w:t>6</w:t>
        </w:r>
        <w:r>
          <w:rPr>
            <w:noProof/>
            <w:webHidden/>
          </w:rPr>
          <w:fldChar w:fldCharType="end"/>
        </w:r>
      </w:hyperlink>
    </w:p>
    <w:p w14:paraId="59D968FD" w14:textId="7C973606" w:rsidR="003A2856" w:rsidRDefault="003A2856">
      <w:pPr>
        <w:pStyle w:val="TOC3"/>
        <w:rPr>
          <w:rFonts w:eastAsiaTheme="minorEastAsia"/>
          <w:noProof/>
          <w:lang w:eastAsia="en-GB"/>
        </w:rPr>
      </w:pPr>
      <w:hyperlink w:anchor="_Toc61255919" w:history="1">
        <w:r w:rsidRPr="00561E94">
          <w:rPr>
            <w:rStyle w:val="Hyperlink"/>
            <w:noProof/>
          </w:rPr>
          <w:t>3.2.1</w:t>
        </w:r>
        <w:r>
          <w:rPr>
            <w:rFonts w:eastAsiaTheme="minorEastAsia"/>
            <w:noProof/>
            <w:lang w:eastAsia="en-GB"/>
          </w:rPr>
          <w:tab/>
        </w:r>
        <w:r w:rsidRPr="00561E94">
          <w:rPr>
            <w:rStyle w:val="Hyperlink"/>
            <w:noProof/>
          </w:rPr>
          <w:t>UPI Governance Components</w:t>
        </w:r>
        <w:r>
          <w:rPr>
            <w:noProof/>
            <w:webHidden/>
          </w:rPr>
          <w:tab/>
        </w:r>
        <w:r>
          <w:rPr>
            <w:noProof/>
            <w:webHidden/>
          </w:rPr>
          <w:fldChar w:fldCharType="begin"/>
        </w:r>
        <w:r>
          <w:rPr>
            <w:noProof/>
            <w:webHidden/>
          </w:rPr>
          <w:instrText xml:space="preserve"> PAGEREF _Toc61255919 \h </w:instrText>
        </w:r>
        <w:r>
          <w:rPr>
            <w:noProof/>
            <w:webHidden/>
          </w:rPr>
        </w:r>
        <w:r>
          <w:rPr>
            <w:noProof/>
            <w:webHidden/>
          </w:rPr>
          <w:fldChar w:fldCharType="separate"/>
        </w:r>
        <w:r>
          <w:rPr>
            <w:noProof/>
            <w:webHidden/>
          </w:rPr>
          <w:t>6</w:t>
        </w:r>
        <w:r>
          <w:rPr>
            <w:noProof/>
            <w:webHidden/>
          </w:rPr>
          <w:fldChar w:fldCharType="end"/>
        </w:r>
      </w:hyperlink>
    </w:p>
    <w:p w14:paraId="049D9C50" w14:textId="2ABF7D66" w:rsidR="003A2856" w:rsidRDefault="003A2856">
      <w:pPr>
        <w:pStyle w:val="TOC3"/>
        <w:rPr>
          <w:rFonts w:eastAsiaTheme="minorEastAsia"/>
          <w:noProof/>
          <w:lang w:eastAsia="en-GB"/>
        </w:rPr>
      </w:pPr>
      <w:hyperlink w:anchor="_Toc61255920" w:history="1">
        <w:r w:rsidRPr="00561E94">
          <w:rPr>
            <w:rStyle w:val="Hyperlink"/>
            <w:noProof/>
          </w:rPr>
          <w:t>3.2.2</w:t>
        </w:r>
        <w:r>
          <w:rPr>
            <w:rFonts w:eastAsiaTheme="minorEastAsia"/>
            <w:noProof/>
            <w:lang w:eastAsia="en-GB"/>
          </w:rPr>
          <w:tab/>
        </w:r>
        <w:r w:rsidRPr="00561E94">
          <w:rPr>
            <w:rStyle w:val="Hyperlink"/>
            <w:noProof/>
          </w:rPr>
          <w:t>UPI Governance Criteria</w:t>
        </w:r>
        <w:r>
          <w:rPr>
            <w:noProof/>
            <w:webHidden/>
          </w:rPr>
          <w:tab/>
        </w:r>
        <w:r>
          <w:rPr>
            <w:noProof/>
            <w:webHidden/>
          </w:rPr>
          <w:fldChar w:fldCharType="begin"/>
        </w:r>
        <w:r>
          <w:rPr>
            <w:noProof/>
            <w:webHidden/>
          </w:rPr>
          <w:instrText xml:space="preserve"> PAGEREF _Toc61255920 \h </w:instrText>
        </w:r>
        <w:r>
          <w:rPr>
            <w:noProof/>
            <w:webHidden/>
          </w:rPr>
        </w:r>
        <w:r>
          <w:rPr>
            <w:noProof/>
            <w:webHidden/>
          </w:rPr>
          <w:fldChar w:fldCharType="separate"/>
        </w:r>
        <w:r>
          <w:rPr>
            <w:noProof/>
            <w:webHidden/>
          </w:rPr>
          <w:t>10</w:t>
        </w:r>
        <w:r>
          <w:rPr>
            <w:noProof/>
            <w:webHidden/>
          </w:rPr>
          <w:fldChar w:fldCharType="end"/>
        </w:r>
      </w:hyperlink>
    </w:p>
    <w:p w14:paraId="2D8259D8" w14:textId="341DF86D" w:rsidR="003A2856" w:rsidRDefault="003A2856">
      <w:pPr>
        <w:pStyle w:val="TOC2"/>
        <w:rPr>
          <w:rFonts w:eastAsiaTheme="minorEastAsia"/>
          <w:noProof/>
          <w:lang w:eastAsia="en-GB"/>
        </w:rPr>
      </w:pPr>
      <w:hyperlink w:anchor="_Toc61255921" w:history="1">
        <w:r w:rsidRPr="00561E94">
          <w:rPr>
            <w:rStyle w:val="Hyperlink"/>
            <w:rFonts w:cstheme="minorHAnsi"/>
            <w:noProof/>
          </w:rPr>
          <w:t>3.3</w:t>
        </w:r>
        <w:r>
          <w:rPr>
            <w:rFonts w:eastAsiaTheme="minorEastAsia"/>
            <w:noProof/>
            <w:lang w:eastAsia="en-GB"/>
          </w:rPr>
          <w:tab/>
        </w:r>
        <w:r w:rsidRPr="00561E94">
          <w:rPr>
            <w:rStyle w:val="Hyperlink"/>
            <w:rFonts w:cstheme="minorHAnsi"/>
            <w:noProof/>
          </w:rPr>
          <w:t>UPI Implementation Timeline</w:t>
        </w:r>
        <w:r>
          <w:rPr>
            <w:noProof/>
            <w:webHidden/>
          </w:rPr>
          <w:tab/>
        </w:r>
        <w:r>
          <w:rPr>
            <w:noProof/>
            <w:webHidden/>
          </w:rPr>
          <w:fldChar w:fldCharType="begin"/>
        </w:r>
        <w:r>
          <w:rPr>
            <w:noProof/>
            <w:webHidden/>
          </w:rPr>
          <w:instrText xml:space="preserve"> PAGEREF _Toc61255921 \h </w:instrText>
        </w:r>
        <w:r>
          <w:rPr>
            <w:noProof/>
            <w:webHidden/>
          </w:rPr>
        </w:r>
        <w:r>
          <w:rPr>
            <w:noProof/>
            <w:webHidden/>
          </w:rPr>
          <w:fldChar w:fldCharType="separate"/>
        </w:r>
        <w:r>
          <w:rPr>
            <w:noProof/>
            <w:webHidden/>
          </w:rPr>
          <w:t>11</w:t>
        </w:r>
        <w:r>
          <w:rPr>
            <w:noProof/>
            <w:webHidden/>
          </w:rPr>
          <w:fldChar w:fldCharType="end"/>
        </w:r>
      </w:hyperlink>
    </w:p>
    <w:p w14:paraId="7CBD7075" w14:textId="4CBBC888" w:rsidR="003A2856" w:rsidRDefault="003A2856">
      <w:pPr>
        <w:pStyle w:val="TOC1"/>
        <w:rPr>
          <w:rFonts w:eastAsiaTheme="minorEastAsia"/>
          <w:noProof/>
          <w:lang w:eastAsia="en-GB"/>
        </w:rPr>
      </w:pPr>
      <w:hyperlink w:anchor="_Toc61255922" w:history="1">
        <w:r w:rsidRPr="00561E94">
          <w:rPr>
            <w:rStyle w:val="Hyperlink"/>
            <w:noProof/>
          </w:rPr>
          <w:t>4</w:t>
        </w:r>
        <w:r>
          <w:rPr>
            <w:rFonts w:eastAsiaTheme="minorEastAsia"/>
            <w:noProof/>
            <w:lang w:eastAsia="en-GB"/>
          </w:rPr>
          <w:tab/>
        </w:r>
        <w:r w:rsidRPr="00561E94">
          <w:rPr>
            <w:rStyle w:val="Hyperlink"/>
            <w:noProof/>
          </w:rPr>
          <w:t>Assumptions</w:t>
        </w:r>
        <w:r>
          <w:rPr>
            <w:noProof/>
            <w:webHidden/>
          </w:rPr>
          <w:tab/>
        </w:r>
        <w:r>
          <w:rPr>
            <w:noProof/>
            <w:webHidden/>
          </w:rPr>
          <w:fldChar w:fldCharType="begin"/>
        </w:r>
        <w:r>
          <w:rPr>
            <w:noProof/>
            <w:webHidden/>
          </w:rPr>
          <w:instrText xml:space="preserve"> PAGEREF _Toc61255922 \h </w:instrText>
        </w:r>
        <w:r>
          <w:rPr>
            <w:noProof/>
            <w:webHidden/>
          </w:rPr>
        </w:r>
        <w:r>
          <w:rPr>
            <w:noProof/>
            <w:webHidden/>
          </w:rPr>
          <w:fldChar w:fldCharType="separate"/>
        </w:r>
        <w:r>
          <w:rPr>
            <w:noProof/>
            <w:webHidden/>
          </w:rPr>
          <w:t>12</w:t>
        </w:r>
        <w:r>
          <w:rPr>
            <w:noProof/>
            <w:webHidden/>
          </w:rPr>
          <w:fldChar w:fldCharType="end"/>
        </w:r>
      </w:hyperlink>
    </w:p>
    <w:p w14:paraId="0A90332A" w14:textId="535E627B" w:rsidR="003A2856" w:rsidRDefault="003A2856">
      <w:pPr>
        <w:pStyle w:val="TOC2"/>
        <w:rPr>
          <w:rFonts w:eastAsiaTheme="minorEastAsia"/>
          <w:noProof/>
          <w:lang w:eastAsia="en-GB"/>
        </w:rPr>
      </w:pPr>
      <w:hyperlink w:anchor="_Toc61255923" w:history="1">
        <w:r w:rsidRPr="00561E94">
          <w:rPr>
            <w:rStyle w:val="Hyperlink"/>
            <w:noProof/>
          </w:rPr>
          <w:t>4.1</w:t>
        </w:r>
        <w:r>
          <w:rPr>
            <w:rFonts w:eastAsiaTheme="minorEastAsia"/>
            <w:noProof/>
            <w:lang w:eastAsia="en-GB"/>
          </w:rPr>
          <w:tab/>
        </w:r>
        <w:r w:rsidRPr="00561E94">
          <w:rPr>
            <w:rStyle w:val="Hyperlink"/>
            <w:noProof/>
          </w:rPr>
          <w:t>Leveraging the DSB’s Existing Service Provision</w:t>
        </w:r>
        <w:r>
          <w:rPr>
            <w:noProof/>
            <w:webHidden/>
          </w:rPr>
          <w:tab/>
        </w:r>
        <w:r>
          <w:rPr>
            <w:noProof/>
            <w:webHidden/>
          </w:rPr>
          <w:fldChar w:fldCharType="begin"/>
        </w:r>
        <w:r>
          <w:rPr>
            <w:noProof/>
            <w:webHidden/>
          </w:rPr>
          <w:instrText xml:space="preserve"> PAGEREF _Toc61255923 \h </w:instrText>
        </w:r>
        <w:r>
          <w:rPr>
            <w:noProof/>
            <w:webHidden/>
          </w:rPr>
        </w:r>
        <w:r>
          <w:rPr>
            <w:noProof/>
            <w:webHidden/>
          </w:rPr>
          <w:fldChar w:fldCharType="separate"/>
        </w:r>
        <w:r>
          <w:rPr>
            <w:noProof/>
            <w:webHidden/>
          </w:rPr>
          <w:t>12</w:t>
        </w:r>
        <w:r>
          <w:rPr>
            <w:noProof/>
            <w:webHidden/>
          </w:rPr>
          <w:fldChar w:fldCharType="end"/>
        </w:r>
      </w:hyperlink>
    </w:p>
    <w:p w14:paraId="59079312" w14:textId="2F740CEA" w:rsidR="003A2856" w:rsidRDefault="003A2856">
      <w:pPr>
        <w:pStyle w:val="TOC2"/>
        <w:rPr>
          <w:rFonts w:eastAsiaTheme="minorEastAsia"/>
          <w:noProof/>
          <w:lang w:eastAsia="en-GB"/>
        </w:rPr>
      </w:pPr>
      <w:hyperlink w:anchor="_Toc61255924" w:history="1">
        <w:r w:rsidRPr="00561E94">
          <w:rPr>
            <w:rStyle w:val="Hyperlink"/>
            <w:noProof/>
          </w:rPr>
          <w:t>4.2</w:t>
        </w:r>
        <w:r>
          <w:rPr>
            <w:rFonts w:eastAsiaTheme="minorEastAsia"/>
            <w:noProof/>
            <w:lang w:eastAsia="en-GB"/>
          </w:rPr>
          <w:tab/>
        </w:r>
        <w:r w:rsidRPr="00561E94">
          <w:rPr>
            <w:rStyle w:val="Hyperlink"/>
            <w:noProof/>
          </w:rPr>
          <w:t>Alignment of the UPI with other internationally recognised data standards</w:t>
        </w:r>
        <w:r>
          <w:rPr>
            <w:noProof/>
            <w:webHidden/>
          </w:rPr>
          <w:tab/>
        </w:r>
        <w:r>
          <w:rPr>
            <w:noProof/>
            <w:webHidden/>
          </w:rPr>
          <w:fldChar w:fldCharType="begin"/>
        </w:r>
        <w:r>
          <w:rPr>
            <w:noProof/>
            <w:webHidden/>
          </w:rPr>
          <w:instrText xml:space="preserve"> PAGEREF _Toc61255924 \h </w:instrText>
        </w:r>
        <w:r>
          <w:rPr>
            <w:noProof/>
            <w:webHidden/>
          </w:rPr>
        </w:r>
        <w:r>
          <w:rPr>
            <w:noProof/>
            <w:webHidden/>
          </w:rPr>
          <w:fldChar w:fldCharType="separate"/>
        </w:r>
        <w:r>
          <w:rPr>
            <w:noProof/>
            <w:webHidden/>
          </w:rPr>
          <w:t>15</w:t>
        </w:r>
        <w:r>
          <w:rPr>
            <w:noProof/>
            <w:webHidden/>
          </w:rPr>
          <w:fldChar w:fldCharType="end"/>
        </w:r>
      </w:hyperlink>
    </w:p>
    <w:p w14:paraId="12A1F7F4" w14:textId="6AEF70EE" w:rsidR="003A2856" w:rsidRDefault="003A2856">
      <w:pPr>
        <w:pStyle w:val="TOC2"/>
        <w:rPr>
          <w:rFonts w:eastAsiaTheme="minorEastAsia"/>
          <w:noProof/>
          <w:lang w:eastAsia="en-GB"/>
        </w:rPr>
      </w:pPr>
      <w:hyperlink w:anchor="_Toc61255925" w:history="1">
        <w:r w:rsidRPr="00561E94">
          <w:rPr>
            <w:rStyle w:val="Hyperlink"/>
            <w:noProof/>
          </w:rPr>
          <w:t>4.3</w:t>
        </w:r>
        <w:r>
          <w:rPr>
            <w:rFonts w:eastAsiaTheme="minorEastAsia"/>
            <w:noProof/>
            <w:lang w:eastAsia="en-GB"/>
          </w:rPr>
          <w:tab/>
        </w:r>
        <w:r w:rsidRPr="00561E94">
          <w:rPr>
            <w:rStyle w:val="Hyperlink"/>
            <w:noProof/>
          </w:rPr>
          <w:t>Product definitions for the UPI</w:t>
        </w:r>
        <w:r>
          <w:rPr>
            <w:noProof/>
            <w:webHidden/>
          </w:rPr>
          <w:tab/>
        </w:r>
        <w:r>
          <w:rPr>
            <w:noProof/>
            <w:webHidden/>
          </w:rPr>
          <w:fldChar w:fldCharType="begin"/>
        </w:r>
        <w:r>
          <w:rPr>
            <w:noProof/>
            <w:webHidden/>
          </w:rPr>
          <w:instrText xml:space="preserve"> PAGEREF _Toc61255925 \h </w:instrText>
        </w:r>
        <w:r>
          <w:rPr>
            <w:noProof/>
            <w:webHidden/>
          </w:rPr>
        </w:r>
        <w:r>
          <w:rPr>
            <w:noProof/>
            <w:webHidden/>
          </w:rPr>
          <w:fldChar w:fldCharType="separate"/>
        </w:r>
        <w:r>
          <w:rPr>
            <w:noProof/>
            <w:webHidden/>
          </w:rPr>
          <w:t>16</w:t>
        </w:r>
        <w:r>
          <w:rPr>
            <w:noProof/>
            <w:webHidden/>
          </w:rPr>
          <w:fldChar w:fldCharType="end"/>
        </w:r>
      </w:hyperlink>
    </w:p>
    <w:p w14:paraId="6AB1FA05" w14:textId="50016E24" w:rsidR="003A2856" w:rsidRDefault="003A2856">
      <w:pPr>
        <w:pStyle w:val="TOC2"/>
        <w:rPr>
          <w:rFonts w:eastAsiaTheme="minorEastAsia"/>
          <w:noProof/>
          <w:lang w:eastAsia="en-GB"/>
        </w:rPr>
      </w:pPr>
      <w:hyperlink w:anchor="_Toc61255926" w:history="1">
        <w:r w:rsidRPr="00561E94">
          <w:rPr>
            <w:rStyle w:val="Hyperlink"/>
            <w:noProof/>
          </w:rPr>
          <w:t>4.4</w:t>
        </w:r>
        <w:r>
          <w:rPr>
            <w:rFonts w:eastAsiaTheme="minorEastAsia"/>
            <w:noProof/>
            <w:lang w:eastAsia="en-GB"/>
          </w:rPr>
          <w:tab/>
        </w:r>
        <w:r w:rsidRPr="00561E94">
          <w:rPr>
            <w:rStyle w:val="Hyperlink"/>
            <w:noProof/>
          </w:rPr>
          <w:t>UPI Creation Estimates</w:t>
        </w:r>
        <w:r>
          <w:rPr>
            <w:noProof/>
            <w:webHidden/>
          </w:rPr>
          <w:tab/>
        </w:r>
        <w:r>
          <w:rPr>
            <w:noProof/>
            <w:webHidden/>
          </w:rPr>
          <w:fldChar w:fldCharType="begin"/>
        </w:r>
        <w:r>
          <w:rPr>
            <w:noProof/>
            <w:webHidden/>
          </w:rPr>
          <w:instrText xml:space="preserve"> PAGEREF _Toc61255926 \h </w:instrText>
        </w:r>
        <w:r>
          <w:rPr>
            <w:noProof/>
            <w:webHidden/>
          </w:rPr>
        </w:r>
        <w:r>
          <w:rPr>
            <w:noProof/>
            <w:webHidden/>
          </w:rPr>
          <w:fldChar w:fldCharType="separate"/>
        </w:r>
        <w:r>
          <w:rPr>
            <w:noProof/>
            <w:webHidden/>
          </w:rPr>
          <w:t>17</w:t>
        </w:r>
        <w:r>
          <w:rPr>
            <w:noProof/>
            <w:webHidden/>
          </w:rPr>
          <w:fldChar w:fldCharType="end"/>
        </w:r>
      </w:hyperlink>
    </w:p>
    <w:p w14:paraId="48D17C5D" w14:textId="4A650793" w:rsidR="003A2856" w:rsidRDefault="003A2856">
      <w:pPr>
        <w:pStyle w:val="TOC2"/>
        <w:rPr>
          <w:rFonts w:eastAsiaTheme="minorEastAsia"/>
          <w:noProof/>
          <w:lang w:eastAsia="en-GB"/>
        </w:rPr>
      </w:pPr>
      <w:hyperlink w:anchor="_Toc61255927" w:history="1">
        <w:r w:rsidRPr="00561E94">
          <w:rPr>
            <w:rStyle w:val="Hyperlink"/>
            <w:noProof/>
          </w:rPr>
          <w:t>4.5</w:t>
        </w:r>
        <w:r>
          <w:rPr>
            <w:rFonts w:eastAsiaTheme="minorEastAsia"/>
            <w:noProof/>
            <w:lang w:eastAsia="en-GB"/>
          </w:rPr>
          <w:tab/>
        </w:r>
        <w:r w:rsidRPr="00561E94">
          <w:rPr>
            <w:rStyle w:val="Hyperlink"/>
            <w:noProof/>
          </w:rPr>
          <w:t>UPI Adoption Expectations</w:t>
        </w:r>
        <w:r>
          <w:rPr>
            <w:noProof/>
            <w:webHidden/>
          </w:rPr>
          <w:tab/>
        </w:r>
        <w:r>
          <w:rPr>
            <w:noProof/>
            <w:webHidden/>
          </w:rPr>
          <w:fldChar w:fldCharType="begin"/>
        </w:r>
        <w:r>
          <w:rPr>
            <w:noProof/>
            <w:webHidden/>
          </w:rPr>
          <w:instrText xml:space="preserve"> PAGEREF _Toc61255927 \h </w:instrText>
        </w:r>
        <w:r>
          <w:rPr>
            <w:noProof/>
            <w:webHidden/>
          </w:rPr>
        </w:r>
        <w:r>
          <w:rPr>
            <w:noProof/>
            <w:webHidden/>
          </w:rPr>
          <w:fldChar w:fldCharType="separate"/>
        </w:r>
        <w:r>
          <w:rPr>
            <w:noProof/>
            <w:webHidden/>
          </w:rPr>
          <w:t>18</w:t>
        </w:r>
        <w:r>
          <w:rPr>
            <w:noProof/>
            <w:webHidden/>
          </w:rPr>
          <w:fldChar w:fldCharType="end"/>
        </w:r>
      </w:hyperlink>
    </w:p>
    <w:p w14:paraId="279CE0DE" w14:textId="415C0D7D" w:rsidR="003A2856" w:rsidRDefault="003A2856">
      <w:pPr>
        <w:pStyle w:val="TOC1"/>
        <w:rPr>
          <w:rFonts w:eastAsiaTheme="minorEastAsia"/>
          <w:noProof/>
          <w:lang w:eastAsia="en-GB"/>
        </w:rPr>
      </w:pPr>
      <w:hyperlink w:anchor="_Toc61255928" w:history="1">
        <w:r w:rsidRPr="00561E94">
          <w:rPr>
            <w:rStyle w:val="Hyperlink"/>
            <w:noProof/>
          </w:rPr>
          <w:t>5</w:t>
        </w:r>
        <w:r>
          <w:rPr>
            <w:rFonts w:eastAsiaTheme="minorEastAsia"/>
            <w:noProof/>
            <w:lang w:eastAsia="en-GB"/>
          </w:rPr>
          <w:tab/>
        </w:r>
        <w:r w:rsidRPr="00561E94">
          <w:rPr>
            <w:rStyle w:val="Hyperlink"/>
            <w:noProof/>
          </w:rPr>
          <w:t>Consultation Considerations</w:t>
        </w:r>
        <w:r>
          <w:rPr>
            <w:noProof/>
            <w:webHidden/>
          </w:rPr>
          <w:tab/>
        </w:r>
        <w:r>
          <w:rPr>
            <w:noProof/>
            <w:webHidden/>
          </w:rPr>
          <w:fldChar w:fldCharType="begin"/>
        </w:r>
        <w:r>
          <w:rPr>
            <w:noProof/>
            <w:webHidden/>
          </w:rPr>
          <w:instrText xml:space="preserve"> PAGEREF _Toc61255928 \h </w:instrText>
        </w:r>
        <w:r>
          <w:rPr>
            <w:noProof/>
            <w:webHidden/>
          </w:rPr>
        </w:r>
        <w:r>
          <w:rPr>
            <w:noProof/>
            <w:webHidden/>
          </w:rPr>
          <w:fldChar w:fldCharType="separate"/>
        </w:r>
        <w:r>
          <w:rPr>
            <w:noProof/>
            <w:webHidden/>
          </w:rPr>
          <w:t>19</w:t>
        </w:r>
        <w:r>
          <w:rPr>
            <w:noProof/>
            <w:webHidden/>
          </w:rPr>
          <w:fldChar w:fldCharType="end"/>
        </w:r>
      </w:hyperlink>
    </w:p>
    <w:p w14:paraId="486B5966" w14:textId="02967294" w:rsidR="003A2856" w:rsidRDefault="003A2856">
      <w:pPr>
        <w:pStyle w:val="TOC2"/>
        <w:rPr>
          <w:rFonts w:eastAsiaTheme="minorEastAsia"/>
          <w:noProof/>
          <w:lang w:eastAsia="en-GB"/>
        </w:rPr>
      </w:pPr>
      <w:hyperlink w:anchor="_Toc61255929" w:history="1">
        <w:r w:rsidRPr="00561E94">
          <w:rPr>
            <w:rStyle w:val="Hyperlink"/>
            <w:noProof/>
          </w:rPr>
          <w:t>5.1</w:t>
        </w:r>
        <w:r>
          <w:rPr>
            <w:rFonts w:eastAsiaTheme="minorEastAsia"/>
            <w:noProof/>
            <w:lang w:eastAsia="en-GB"/>
          </w:rPr>
          <w:tab/>
        </w:r>
        <w:r w:rsidRPr="00561E94">
          <w:rPr>
            <w:rStyle w:val="Hyperlink"/>
            <w:noProof/>
          </w:rPr>
          <w:t>Q1 – User Estimates</w:t>
        </w:r>
        <w:r>
          <w:rPr>
            <w:noProof/>
            <w:webHidden/>
          </w:rPr>
          <w:tab/>
        </w:r>
        <w:r>
          <w:rPr>
            <w:noProof/>
            <w:webHidden/>
          </w:rPr>
          <w:fldChar w:fldCharType="begin"/>
        </w:r>
        <w:r>
          <w:rPr>
            <w:noProof/>
            <w:webHidden/>
          </w:rPr>
          <w:instrText xml:space="preserve"> PAGEREF _Toc61255929 \h </w:instrText>
        </w:r>
        <w:r>
          <w:rPr>
            <w:noProof/>
            <w:webHidden/>
          </w:rPr>
        </w:r>
        <w:r>
          <w:rPr>
            <w:noProof/>
            <w:webHidden/>
          </w:rPr>
          <w:fldChar w:fldCharType="separate"/>
        </w:r>
        <w:r>
          <w:rPr>
            <w:noProof/>
            <w:webHidden/>
          </w:rPr>
          <w:t>19</w:t>
        </w:r>
        <w:r>
          <w:rPr>
            <w:noProof/>
            <w:webHidden/>
          </w:rPr>
          <w:fldChar w:fldCharType="end"/>
        </w:r>
      </w:hyperlink>
    </w:p>
    <w:p w14:paraId="59517319" w14:textId="5B267511" w:rsidR="003A2856" w:rsidRDefault="003A2856">
      <w:pPr>
        <w:pStyle w:val="TOC2"/>
        <w:rPr>
          <w:rFonts w:eastAsiaTheme="minorEastAsia"/>
          <w:noProof/>
          <w:lang w:eastAsia="en-GB"/>
        </w:rPr>
      </w:pPr>
      <w:hyperlink w:anchor="_Toc61255930" w:history="1">
        <w:r w:rsidRPr="00561E94">
          <w:rPr>
            <w:rStyle w:val="Hyperlink"/>
            <w:noProof/>
          </w:rPr>
          <w:t>5.2</w:t>
        </w:r>
        <w:r>
          <w:rPr>
            <w:rFonts w:eastAsiaTheme="minorEastAsia"/>
            <w:noProof/>
            <w:lang w:eastAsia="en-GB"/>
          </w:rPr>
          <w:tab/>
        </w:r>
        <w:r w:rsidRPr="00561E94">
          <w:rPr>
            <w:rStyle w:val="Hyperlink"/>
            <w:noProof/>
          </w:rPr>
          <w:t>Q2 – Forecast User Interaction with the DSB</w:t>
        </w:r>
        <w:r>
          <w:rPr>
            <w:noProof/>
            <w:webHidden/>
          </w:rPr>
          <w:tab/>
        </w:r>
        <w:r>
          <w:rPr>
            <w:noProof/>
            <w:webHidden/>
          </w:rPr>
          <w:fldChar w:fldCharType="begin"/>
        </w:r>
        <w:r>
          <w:rPr>
            <w:noProof/>
            <w:webHidden/>
          </w:rPr>
          <w:instrText xml:space="preserve"> PAGEREF _Toc61255930 \h </w:instrText>
        </w:r>
        <w:r>
          <w:rPr>
            <w:noProof/>
            <w:webHidden/>
          </w:rPr>
        </w:r>
        <w:r>
          <w:rPr>
            <w:noProof/>
            <w:webHidden/>
          </w:rPr>
          <w:fldChar w:fldCharType="separate"/>
        </w:r>
        <w:r>
          <w:rPr>
            <w:noProof/>
            <w:webHidden/>
          </w:rPr>
          <w:t>21</w:t>
        </w:r>
        <w:r>
          <w:rPr>
            <w:noProof/>
            <w:webHidden/>
          </w:rPr>
          <w:fldChar w:fldCharType="end"/>
        </w:r>
      </w:hyperlink>
    </w:p>
    <w:p w14:paraId="24B96624" w14:textId="1F31CABD" w:rsidR="003A2856" w:rsidRDefault="003A2856">
      <w:pPr>
        <w:pStyle w:val="TOC2"/>
        <w:rPr>
          <w:rFonts w:eastAsiaTheme="minorEastAsia"/>
          <w:noProof/>
          <w:lang w:eastAsia="en-GB"/>
        </w:rPr>
      </w:pPr>
      <w:hyperlink w:anchor="_Toc61255931" w:history="1">
        <w:r w:rsidRPr="00561E94">
          <w:rPr>
            <w:rStyle w:val="Hyperlink"/>
            <w:noProof/>
          </w:rPr>
          <w:t>5.3</w:t>
        </w:r>
        <w:r>
          <w:rPr>
            <w:rFonts w:eastAsiaTheme="minorEastAsia"/>
            <w:noProof/>
            <w:lang w:eastAsia="en-GB"/>
          </w:rPr>
          <w:tab/>
        </w:r>
        <w:r w:rsidRPr="00561E94">
          <w:rPr>
            <w:rStyle w:val="Hyperlink"/>
            <w:noProof/>
          </w:rPr>
          <w:t>Q3 – User Access</w:t>
        </w:r>
        <w:r>
          <w:rPr>
            <w:noProof/>
            <w:webHidden/>
          </w:rPr>
          <w:tab/>
        </w:r>
        <w:r>
          <w:rPr>
            <w:noProof/>
            <w:webHidden/>
          </w:rPr>
          <w:fldChar w:fldCharType="begin"/>
        </w:r>
        <w:r>
          <w:rPr>
            <w:noProof/>
            <w:webHidden/>
          </w:rPr>
          <w:instrText xml:space="preserve"> PAGEREF _Toc61255931 \h </w:instrText>
        </w:r>
        <w:r>
          <w:rPr>
            <w:noProof/>
            <w:webHidden/>
          </w:rPr>
        </w:r>
        <w:r>
          <w:rPr>
            <w:noProof/>
            <w:webHidden/>
          </w:rPr>
          <w:fldChar w:fldCharType="separate"/>
        </w:r>
        <w:r>
          <w:rPr>
            <w:noProof/>
            <w:webHidden/>
          </w:rPr>
          <w:t>22</w:t>
        </w:r>
        <w:r>
          <w:rPr>
            <w:noProof/>
            <w:webHidden/>
          </w:rPr>
          <w:fldChar w:fldCharType="end"/>
        </w:r>
      </w:hyperlink>
    </w:p>
    <w:p w14:paraId="779047AB" w14:textId="1DAB1BBE" w:rsidR="003A2856" w:rsidRDefault="003A2856">
      <w:pPr>
        <w:pStyle w:val="TOC2"/>
        <w:rPr>
          <w:rFonts w:eastAsiaTheme="minorEastAsia"/>
          <w:noProof/>
          <w:lang w:eastAsia="en-GB"/>
        </w:rPr>
      </w:pPr>
      <w:hyperlink w:anchor="_Toc61255932" w:history="1">
        <w:r w:rsidRPr="00561E94">
          <w:rPr>
            <w:rStyle w:val="Hyperlink"/>
            <w:noProof/>
          </w:rPr>
          <w:t>5.4</w:t>
        </w:r>
        <w:r>
          <w:rPr>
            <w:rFonts w:eastAsiaTheme="minorEastAsia"/>
            <w:noProof/>
            <w:lang w:eastAsia="en-GB"/>
          </w:rPr>
          <w:tab/>
        </w:r>
        <w:r w:rsidRPr="00561E94">
          <w:rPr>
            <w:rStyle w:val="Hyperlink"/>
            <w:noProof/>
          </w:rPr>
          <w:t>Q4 – Registered User File Download Timing</w:t>
        </w:r>
        <w:r>
          <w:rPr>
            <w:noProof/>
            <w:webHidden/>
          </w:rPr>
          <w:tab/>
        </w:r>
        <w:r>
          <w:rPr>
            <w:noProof/>
            <w:webHidden/>
          </w:rPr>
          <w:fldChar w:fldCharType="begin"/>
        </w:r>
        <w:r>
          <w:rPr>
            <w:noProof/>
            <w:webHidden/>
          </w:rPr>
          <w:instrText xml:space="preserve"> PAGEREF _Toc61255932 \h </w:instrText>
        </w:r>
        <w:r>
          <w:rPr>
            <w:noProof/>
            <w:webHidden/>
          </w:rPr>
        </w:r>
        <w:r>
          <w:rPr>
            <w:noProof/>
            <w:webHidden/>
          </w:rPr>
          <w:fldChar w:fldCharType="separate"/>
        </w:r>
        <w:r>
          <w:rPr>
            <w:noProof/>
            <w:webHidden/>
          </w:rPr>
          <w:t>23</w:t>
        </w:r>
        <w:r>
          <w:rPr>
            <w:noProof/>
            <w:webHidden/>
          </w:rPr>
          <w:fldChar w:fldCharType="end"/>
        </w:r>
      </w:hyperlink>
    </w:p>
    <w:p w14:paraId="751A6E18" w14:textId="0B63578A" w:rsidR="003A2856" w:rsidRDefault="003A2856">
      <w:pPr>
        <w:pStyle w:val="TOC2"/>
        <w:rPr>
          <w:rFonts w:eastAsiaTheme="minorEastAsia"/>
          <w:noProof/>
          <w:lang w:eastAsia="en-GB"/>
        </w:rPr>
      </w:pPr>
      <w:hyperlink w:anchor="_Toc61255933" w:history="1">
        <w:r w:rsidRPr="00561E94">
          <w:rPr>
            <w:rStyle w:val="Hyperlink"/>
            <w:noProof/>
          </w:rPr>
          <w:t>5.5</w:t>
        </w:r>
        <w:r>
          <w:rPr>
            <w:rFonts w:eastAsiaTheme="minorEastAsia"/>
            <w:noProof/>
            <w:lang w:eastAsia="en-GB"/>
          </w:rPr>
          <w:tab/>
        </w:r>
        <w:r w:rsidRPr="00561E94">
          <w:rPr>
            <w:rStyle w:val="Hyperlink"/>
            <w:noProof/>
          </w:rPr>
          <w:t xml:space="preserve"> Q5 – UPI Cost Allocation Methodology</w:t>
        </w:r>
        <w:r>
          <w:rPr>
            <w:noProof/>
            <w:webHidden/>
          </w:rPr>
          <w:tab/>
        </w:r>
        <w:r>
          <w:rPr>
            <w:noProof/>
            <w:webHidden/>
          </w:rPr>
          <w:fldChar w:fldCharType="begin"/>
        </w:r>
        <w:r>
          <w:rPr>
            <w:noProof/>
            <w:webHidden/>
          </w:rPr>
          <w:instrText xml:space="preserve"> PAGEREF _Toc61255933 \h </w:instrText>
        </w:r>
        <w:r>
          <w:rPr>
            <w:noProof/>
            <w:webHidden/>
          </w:rPr>
        </w:r>
        <w:r>
          <w:rPr>
            <w:noProof/>
            <w:webHidden/>
          </w:rPr>
          <w:fldChar w:fldCharType="separate"/>
        </w:r>
        <w:r>
          <w:rPr>
            <w:noProof/>
            <w:webHidden/>
          </w:rPr>
          <w:t>25</w:t>
        </w:r>
        <w:r>
          <w:rPr>
            <w:noProof/>
            <w:webHidden/>
          </w:rPr>
          <w:fldChar w:fldCharType="end"/>
        </w:r>
      </w:hyperlink>
    </w:p>
    <w:p w14:paraId="11FE7C0B" w14:textId="246DC475" w:rsidR="003A2856" w:rsidRDefault="003A2856">
      <w:pPr>
        <w:pStyle w:val="TOC2"/>
        <w:rPr>
          <w:rFonts w:eastAsiaTheme="minorEastAsia"/>
          <w:noProof/>
          <w:lang w:eastAsia="en-GB"/>
        </w:rPr>
      </w:pPr>
      <w:hyperlink w:anchor="_Toc61255934" w:history="1">
        <w:r w:rsidRPr="00561E94">
          <w:rPr>
            <w:rStyle w:val="Hyperlink"/>
            <w:noProof/>
          </w:rPr>
          <w:t>5.6</w:t>
        </w:r>
        <w:r>
          <w:rPr>
            <w:rFonts w:eastAsiaTheme="minorEastAsia"/>
            <w:noProof/>
            <w:lang w:eastAsia="en-GB"/>
          </w:rPr>
          <w:tab/>
        </w:r>
        <w:r w:rsidRPr="00561E94">
          <w:rPr>
            <w:rStyle w:val="Hyperlink"/>
            <w:noProof/>
          </w:rPr>
          <w:t>Q6 – Duration of UPI User Agreement</w:t>
        </w:r>
        <w:r>
          <w:rPr>
            <w:noProof/>
            <w:webHidden/>
          </w:rPr>
          <w:tab/>
        </w:r>
        <w:r>
          <w:rPr>
            <w:noProof/>
            <w:webHidden/>
          </w:rPr>
          <w:fldChar w:fldCharType="begin"/>
        </w:r>
        <w:r>
          <w:rPr>
            <w:noProof/>
            <w:webHidden/>
          </w:rPr>
          <w:instrText xml:space="preserve"> PAGEREF _Toc61255934 \h </w:instrText>
        </w:r>
        <w:r>
          <w:rPr>
            <w:noProof/>
            <w:webHidden/>
          </w:rPr>
        </w:r>
        <w:r>
          <w:rPr>
            <w:noProof/>
            <w:webHidden/>
          </w:rPr>
          <w:fldChar w:fldCharType="separate"/>
        </w:r>
        <w:r>
          <w:rPr>
            <w:noProof/>
            <w:webHidden/>
          </w:rPr>
          <w:t>28</w:t>
        </w:r>
        <w:r>
          <w:rPr>
            <w:noProof/>
            <w:webHidden/>
          </w:rPr>
          <w:fldChar w:fldCharType="end"/>
        </w:r>
      </w:hyperlink>
    </w:p>
    <w:p w14:paraId="6AE96612" w14:textId="6552B85B" w:rsidR="003A2856" w:rsidRDefault="003A2856">
      <w:pPr>
        <w:pStyle w:val="TOC2"/>
        <w:rPr>
          <w:rFonts w:eastAsiaTheme="minorEastAsia"/>
          <w:noProof/>
          <w:lang w:eastAsia="en-GB"/>
        </w:rPr>
      </w:pPr>
      <w:hyperlink w:anchor="_Toc61255935" w:history="1">
        <w:r w:rsidRPr="00561E94">
          <w:rPr>
            <w:rStyle w:val="Hyperlink"/>
            <w:noProof/>
          </w:rPr>
          <w:t>5.7</w:t>
        </w:r>
        <w:r>
          <w:rPr>
            <w:rFonts w:eastAsiaTheme="minorEastAsia"/>
            <w:noProof/>
            <w:lang w:eastAsia="en-GB"/>
          </w:rPr>
          <w:tab/>
        </w:r>
        <w:r w:rsidRPr="00561E94">
          <w:rPr>
            <w:rStyle w:val="Hyperlink"/>
            <w:noProof/>
          </w:rPr>
          <w:t>Q7 – Invoicing Approach</w:t>
        </w:r>
        <w:r>
          <w:rPr>
            <w:noProof/>
            <w:webHidden/>
          </w:rPr>
          <w:tab/>
        </w:r>
        <w:r>
          <w:rPr>
            <w:noProof/>
            <w:webHidden/>
          </w:rPr>
          <w:fldChar w:fldCharType="begin"/>
        </w:r>
        <w:r>
          <w:rPr>
            <w:noProof/>
            <w:webHidden/>
          </w:rPr>
          <w:instrText xml:space="preserve"> PAGEREF _Toc61255935 \h </w:instrText>
        </w:r>
        <w:r>
          <w:rPr>
            <w:noProof/>
            <w:webHidden/>
          </w:rPr>
        </w:r>
        <w:r>
          <w:rPr>
            <w:noProof/>
            <w:webHidden/>
          </w:rPr>
          <w:fldChar w:fldCharType="separate"/>
        </w:r>
        <w:r>
          <w:rPr>
            <w:noProof/>
            <w:webHidden/>
          </w:rPr>
          <w:t>29</w:t>
        </w:r>
        <w:r>
          <w:rPr>
            <w:noProof/>
            <w:webHidden/>
          </w:rPr>
          <w:fldChar w:fldCharType="end"/>
        </w:r>
      </w:hyperlink>
    </w:p>
    <w:p w14:paraId="16FDA399" w14:textId="4DDF0016" w:rsidR="003A2856" w:rsidRDefault="003A2856">
      <w:pPr>
        <w:pStyle w:val="TOC2"/>
        <w:rPr>
          <w:rFonts w:eastAsiaTheme="minorEastAsia"/>
          <w:noProof/>
          <w:lang w:eastAsia="en-GB"/>
        </w:rPr>
      </w:pPr>
      <w:hyperlink w:anchor="_Toc61255936" w:history="1">
        <w:r w:rsidRPr="00561E94">
          <w:rPr>
            <w:rStyle w:val="Hyperlink"/>
            <w:noProof/>
          </w:rPr>
          <w:t>5.8</w:t>
        </w:r>
        <w:r>
          <w:rPr>
            <w:rFonts w:eastAsiaTheme="minorEastAsia"/>
            <w:noProof/>
            <w:lang w:eastAsia="en-GB"/>
          </w:rPr>
          <w:tab/>
        </w:r>
        <w:r w:rsidRPr="00561E94">
          <w:rPr>
            <w:rStyle w:val="Hyperlink"/>
            <w:noProof/>
          </w:rPr>
          <w:t>Q8 – Capital Expenditure Amortisation Approach</w:t>
        </w:r>
        <w:r>
          <w:rPr>
            <w:noProof/>
            <w:webHidden/>
          </w:rPr>
          <w:tab/>
        </w:r>
        <w:r>
          <w:rPr>
            <w:noProof/>
            <w:webHidden/>
          </w:rPr>
          <w:fldChar w:fldCharType="begin"/>
        </w:r>
        <w:r>
          <w:rPr>
            <w:noProof/>
            <w:webHidden/>
          </w:rPr>
          <w:instrText xml:space="preserve"> PAGEREF _Toc61255936 \h </w:instrText>
        </w:r>
        <w:r>
          <w:rPr>
            <w:noProof/>
            <w:webHidden/>
          </w:rPr>
        </w:r>
        <w:r>
          <w:rPr>
            <w:noProof/>
            <w:webHidden/>
          </w:rPr>
          <w:fldChar w:fldCharType="separate"/>
        </w:r>
        <w:r>
          <w:rPr>
            <w:noProof/>
            <w:webHidden/>
          </w:rPr>
          <w:t>31</w:t>
        </w:r>
        <w:r>
          <w:rPr>
            <w:noProof/>
            <w:webHidden/>
          </w:rPr>
          <w:fldChar w:fldCharType="end"/>
        </w:r>
      </w:hyperlink>
    </w:p>
    <w:p w14:paraId="1B79DD28" w14:textId="1D66E14D" w:rsidR="003A2856" w:rsidRDefault="003A2856">
      <w:pPr>
        <w:pStyle w:val="TOC2"/>
        <w:rPr>
          <w:rFonts w:eastAsiaTheme="minorEastAsia"/>
          <w:noProof/>
          <w:lang w:eastAsia="en-GB"/>
        </w:rPr>
      </w:pPr>
      <w:hyperlink w:anchor="_Toc61255937" w:history="1">
        <w:r w:rsidRPr="00561E94">
          <w:rPr>
            <w:rStyle w:val="Hyperlink"/>
            <w:noProof/>
          </w:rPr>
          <w:t>5.9</w:t>
        </w:r>
        <w:r>
          <w:rPr>
            <w:rFonts w:eastAsiaTheme="minorEastAsia"/>
            <w:noProof/>
            <w:lang w:eastAsia="en-GB"/>
          </w:rPr>
          <w:tab/>
        </w:r>
        <w:r w:rsidRPr="00561E94">
          <w:rPr>
            <w:rStyle w:val="Hyperlink"/>
            <w:noProof/>
          </w:rPr>
          <w:t>Q9 – Any other comments</w:t>
        </w:r>
        <w:r>
          <w:rPr>
            <w:noProof/>
            <w:webHidden/>
          </w:rPr>
          <w:tab/>
        </w:r>
        <w:r>
          <w:rPr>
            <w:noProof/>
            <w:webHidden/>
          </w:rPr>
          <w:fldChar w:fldCharType="begin"/>
        </w:r>
        <w:r>
          <w:rPr>
            <w:noProof/>
            <w:webHidden/>
          </w:rPr>
          <w:instrText xml:space="preserve"> PAGEREF _Toc61255937 \h </w:instrText>
        </w:r>
        <w:r>
          <w:rPr>
            <w:noProof/>
            <w:webHidden/>
          </w:rPr>
        </w:r>
        <w:r>
          <w:rPr>
            <w:noProof/>
            <w:webHidden/>
          </w:rPr>
          <w:fldChar w:fldCharType="separate"/>
        </w:r>
        <w:r>
          <w:rPr>
            <w:noProof/>
            <w:webHidden/>
          </w:rPr>
          <w:t>32</w:t>
        </w:r>
        <w:r>
          <w:rPr>
            <w:noProof/>
            <w:webHidden/>
          </w:rPr>
          <w:fldChar w:fldCharType="end"/>
        </w:r>
      </w:hyperlink>
    </w:p>
    <w:p w14:paraId="2D260054" w14:textId="39CDC6C9" w:rsidR="003A2856" w:rsidRDefault="003A2856">
      <w:pPr>
        <w:pStyle w:val="TOC1"/>
        <w:rPr>
          <w:rFonts w:eastAsiaTheme="minorEastAsia"/>
          <w:noProof/>
          <w:lang w:eastAsia="en-GB"/>
        </w:rPr>
      </w:pPr>
      <w:hyperlink w:anchor="_Toc61255938" w:history="1">
        <w:r w:rsidRPr="00561E94">
          <w:rPr>
            <w:rStyle w:val="Hyperlink"/>
            <w:noProof/>
          </w:rPr>
          <w:t>6</w:t>
        </w:r>
        <w:r>
          <w:rPr>
            <w:rFonts w:eastAsiaTheme="minorEastAsia"/>
            <w:noProof/>
            <w:lang w:eastAsia="en-GB"/>
          </w:rPr>
          <w:tab/>
        </w:r>
        <w:r w:rsidRPr="00561E94">
          <w:rPr>
            <w:rStyle w:val="Hyperlink"/>
            <w:noProof/>
          </w:rPr>
          <w:t>Appendices</w:t>
        </w:r>
        <w:r>
          <w:rPr>
            <w:noProof/>
            <w:webHidden/>
          </w:rPr>
          <w:tab/>
        </w:r>
        <w:r>
          <w:rPr>
            <w:noProof/>
            <w:webHidden/>
          </w:rPr>
          <w:fldChar w:fldCharType="begin"/>
        </w:r>
        <w:r>
          <w:rPr>
            <w:noProof/>
            <w:webHidden/>
          </w:rPr>
          <w:instrText xml:space="preserve"> PAGEREF _Toc61255938 \h </w:instrText>
        </w:r>
        <w:r>
          <w:rPr>
            <w:noProof/>
            <w:webHidden/>
          </w:rPr>
        </w:r>
        <w:r>
          <w:rPr>
            <w:noProof/>
            <w:webHidden/>
          </w:rPr>
          <w:fldChar w:fldCharType="separate"/>
        </w:r>
        <w:r>
          <w:rPr>
            <w:noProof/>
            <w:webHidden/>
          </w:rPr>
          <w:t>33</w:t>
        </w:r>
        <w:r>
          <w:rPr>
            <w:noProof/>
            <w:webHidden/>
          </w:rPr>
          <w:fldChar w:fldCharType="end"/>
        </w:r>
      </w:hyperlink>
    </w:p>
    <w:p w14:paraId="25E76438" w14:textId="635C9C95" w:rsidR="003A2856" w:rsidRDefault="003A2856">
      <w:pPr>
        <w:pStyle w:val="TOC2"/>
        <w:rPr>
          <w:rFonts w:eastAsiaTheme="minorEastAsia"/>
          <w:noProof/>
          <w:lang w:eastAsia="en-GB"/>
        </w:rPr>
      </w:pPr>
      <w:hyperlink w:anchor="_Toc61255939" w:history="1">
        <w:r w:rsidRPr="00561E94">
          <w:rPr>
            <w:rStyle w:val="Hyperlink"/>
            <w:noProof/>
            <w:lang w:val="it-IT"/>
          </w:rPr>
          <w:t>6.1</w:t>
        </w:r>
        <w:r>
          <w:rPr>
            <w:rFonts w:eastAsiaTheme="minorEastAsia"/>
            <w:noProof/>
            <w:lang w:eastAsia="en-GB"/>
          </w:rPr>
          <w:tab/>
        </w:r>
        <w:r w:rsidRPr="00561E94">
          <w:rPr>
            <w:rStyle w:val="Hyperlink"/>
            <w:noProof/>
            <w:lang w:val="it-IT"/>
          </w:rPr>
          <w:t>Appendix 1 – UPI Creation Estimates</w:t>
        </w:r>
        <w:r>
          <w:rPr>
            <w:noProof/>
            <w:webHidden/>
          </w:rPr>
          <w:tab/>
        </w:r>
        <w:r>
          <w:rPr>
            <w:noProof/>
            <w:webHidden/>
          </w:rPr>
          <w:fldChar w:fldCharType="begin"/>
        </w:r>
        <w:r>
          <w:rPr>
            <w:noProof/>
            <w:webHidden/>
          </w:rPr>
          <w:instrText xml:space="preserve"> PAGEREF _Toc61255939 \h </w:instrText>
        </w:r>
        <w:r>
          <w:rPr>
            <w:noProof/>
            <w:webHidden/>
          </w:rPr>
        </w:r>
        <w:r>
          <w:rPr>
            <w:noProof/>
            <w:webHidden/>
          </w:rPr>
          <w:fldChar w:fldCharType="separate"/>
        </w:r>
        <w:r>
          <w:rPr>
            <w:noProof/>
            <w:webHidden/>
          </w:rPr>
          <w:t>33</w:t>
        </w:r>
        <w:r>
          <w:rPr>
            <w:noProof/>
            <w:webHidden/>
          </w:rPr>
          <w:fldChar w:fldCharType="end"/>
        </w:r>
      </w:hyperlink>
    </w:p>
    <w:p w14:paraId="38FC79AF" w14:textId="3ADD171B" w:rsidR="003A2856" w:rsidRDefault="003A2856">
      <w:pPr>
        <w:pStyle w:val="TOC2"/>
        <w:rPr>
          <w:rFonts w:eastAsiaTheme="minorEastAsia"/>
          <w:noProof/>
          <w:lang w:eastAsia="en-GB"/>
        </w:rPr>
      </w:pPr>
      <w:hyperlink w:anchor="_Toc61255940" w:history="1">
        <w:r w:rsidRPr="00561E94">
          <w:rPr>
            <w:rStyle w:val="Hyperlink"/>
            <w:noProof/>
          </w:rPr>
          <w:t>6.2</w:t>
        </w:r>
        <w:r>
          <w:rPr>
            <w:rFonts w:eastAsiaTheme="minorEastAsia"/>
            <w:noProof/>
            <w:lang w:eastAsia="en-GB"/>
          </w:rPr>
          <w:tab/>
        </w:r>
        <w:r w:rsidRPr="00561E94">
          <w:rPr>
            <w:rStyle w:val="Hyperlink"/>
            <w:noProof/>
          </w:rPr>
          <w:t>Appendix 2 – Summary of Consultation Questions for Industry</w:t>
        </w:r>
        <w:r>
          <w:rPr>
            <w:noProof/>
            <w:webHidden/>
          </w:rPr>
          <w:tab/>
        </w:r>
        <w:r>
          <w:rPr>
            <w:noProof/>
            <w:webHidden/>
          </w:rPr>
          <w:fldChar w:fldCharType="begin"/>
        </w:r>
        <w:r>
          <w:rPr>
            <w:noProof/>
            <w:webHidden/>
          </w:rPr>
          <w:instrText xml:space="preserve"> PAGEREF _Toc61255940 \h </w:instrText>
        </w:r>
        <w:r>
          <w:rPr>
            <w:noProof/>
            <w:webHidden/>
          </w:rPr>
        </w:r>
        <w:r>
          <w:rPr>
            <w:noProof/>
            <w:webHidden/>
          </w:rPr>
          <w:fldChar w:fldCharType="separate"/>
        </w:r>
        <w:r>
          <w:rPr>
            <w:noProof/>
            <w:webHidden/>
          </w:rPr>
          <w:t>35</w:t>
        </w:r>
        <w:r>
          <w:rPr>
            <w:noProof/>
            <w:webHidden/>
          </w:rPr>
          <w:fldChar w:fldCharType="end"/>
        </w:r>
      </w:hyperlink>
    </w:p>
    <w:p w14:paraId="0DAD30E1" w14:textId="48D4F109" w:rsidR="000B4A18" w:rsidRDefault="000B4A18" w:rsidP="005130F3">
      <w:pPr>
        <w:spacing w:line="276" w:lineRule="auto"/>
        <w:jc w:val="both"/>
      </w:pPr>
      <w:r>
        <w:rPr>
          <w:b/>
          <w:bCs/>
          <w:noProof/>
        </w:rPr>
        <w:fldChar w:fldCharType="end"/>
      </w:r>
    </w:p>
    <w:p w14:paraId="4838CEED" w14:textId="4018B6C2" w:rsidR="000B4A18" w:rsidRDefault="000B4A18" w:rsidP="00A958F2">
      <w:pPr>
        <w:spacing w:line="276" w:lineRule="auto"/>
        <w:jc w:val="both"/>
        <w:rPr>
          <w:rFonts w:asciiTheme="majorHAnsi" w:eastAsiaTheme="majorEastAsia" w:hAnsiTheme="majorHAnsi" w:cstheme="majorBidi"/>
          <w:color w:val="2E74B5" w:themeColor="accent1" w:themeShade="BF"/>
          <w:sz w:val="32"/>
          <w:szCs w:val="32"/>
        </w:rPr>
      </w:pPr>
      <w:r>
        <w:br w:type="page"/>
      </w:r>
    </w:p>
    <w:p w14:paraId="067D37B6" w14:textId="77777777" w:rsidR="00185AC3" w:rsidRPr="002E7343" w:rsidRDefault="00185AC3" w:rsidP="0048715D">
      <w:pPr>
        <w:pStyle w:val="Heading1"/>
        <w:spacing w:before="0" w:line="276" w:lineRule="auto"/>
        <w:jc w:val="both"/>
        <w:rPr>
          <w:color w:val="30AEB9"/>
        </w:rPr>
      </w:pPr>
      <w:bookmarkStart w:id="0" w:name="_Toc60651758"/>
      <w:bookmarkStart w:id="1" w:name="_Toc517783484"/>
      <w:bookmarkStart w:id="2" w:name="_Toc13087160"/>
      <w:bookmarkStart w:id="3" w:name="_Toc38842415"/>
      <w:bookmarkStart w:id="4" w:name="_Toc61255914"/>
      <w:r>
        <w:rPr>
          <w:color w:val="30AEB9"/>
        </w:rPr>
        <w:lastRenderedPageBreak/>
        <w:t>Executive Summary</w:t>
      </w:r>
      <w:bookmarkEnd w:id="0"/>
      <w:bookmarkEnd w:id="4"/>
      <w:r>
        <w:rPr>
          <w:color w:val="30AEB9"/>
        </w:rPr>
        <w:t xml:space="preserve"> </w:t>
      </w:r>
    </w:p>
    <w:p w14:paraId="0CCF012F" w14:textId="77777777" w:rsidR="00185AC3" w:rsidRPr="0048715D" w:rsidRDefault="00185AC3" w:rsidP="0048715D">
      <w:pPr>
        <w:spacing w:line="276" w:lineRule="auto"/>
        <w:jc w:val="both"/>
      </w:pPr>
      <w:r w:rsidRPr="0048715D">
        <w:t xml:space="preserve">The Association of National Numbering Agencies (“ANNA”) founded the Derivatives Service Bureau (DSB) for the allocation and maintenance of International Securities Identification Numbers (ISINs), Classification of Financial Instrument (CFI) codes and Financial Instrument Short Names (FISNs) for OTC derivatives. </w:t>
      </w:r>
    </w:p>
    <w:p w14:paraId="7C6D2729" w14:textId="77777777" w:rsidR="00185AC3" w:rsidRPr="0048715D" w:rsidRDefault="00185AC3" w:rsidP="0048715D">
      <w:pPr>
        <w:spacing w:line="276" w:lineRule="auto"/>
        <w:jc w:val="both"/>
      </w:pPr>
      <w:r w:rsidRPr="0048715D">
        <w:t>The Financial Stability Board (FSB) announced on May 2, 2019 the designation of the DSB as the sole service provider for the future Unique Product Identifier (UPI) system</w:t>
      </w:r>
      <w:r w:rsidRPr="0048715D">
        <w:rPr>
          <w:rStyle w:val="FootnoteReference"/>
        </w:rPr>
        <w:footnoteReference w:id="2"/>
      </w:r>
      <w:r w:rsidRPr="0048715D">
        <w:t xml:space="preserve">, performing the function of issuer of UPIs as well as operator of the UPI reference data library. The DSB is working towards providing UPIs for OTC derivatives in the second half of 2022, which will help enable users, such as banks, strengthen risk data aggregation capabilities and internal risk reporting practices and assist regulatory authorities to aggregate data on OTC derivatives transactions to help assess systemic risk as outlined in the 2014 </w:t>
      </w:r>
      <w:r w:rsidRPr="0048715D">
        <w:rPr>
          <w:rStyle w:val="Hyperlink"/>
        </w:rPr>
        <w:t>FSB feasibility study on approaches to aggregate OTC derivatives data</w:t>
      </w:r>
      <w:r w:rsidRPr="0048715D">
        <w:rPr>
          <w:rStyle w:val="FootnoteReference"/>
        </w:rPr>
        <w:footnoteReference w:id="3"/>
      </w:r>
      <w:r w:rsidRPr="0048715D">
        <w:t>.</w:t>
      </w:r>
    </w:p>
    <w:p w14:paraId="582BF8F9" w14:textId="1B3B100C" w:rsidR="00EB1BD7" w:rsidRDefault="00EB1BD7" w:rsidP="0048715D">
      <w:pPr>
        <w:spacing w:line="276" w:lineRule="auto"/>
        <w:jc w:val="both"/>
      </w:pPr>
      <w:r>
        <w:t xml:space="preserve">The DSB is seeking to design, deploy, and operate an efficient UPI service that leverages the capabilities of the </w:t>
      </w:r>
      <w:r w:rsidR="000F5B1C">
        <w:t>existing services (</w:t>
      </w:r>
      <w:r w:rsidR="0053666B">
        <w:t>e.g.,</w:t>
      </w:r>
      <w:r w:rsidR="000F5B1C">
        <w:t xml:space="preserve"> CFI and </w:t>
      </w:r>
      <w:r>
        <w:t xml:space="preserve">OTC ISIN </w:t>
      </w:r>
      <w:r w:rsidR="000F5B1C">
        <w:t xml:space="preserve">provision) </w:t>
      </w:r>
      <w:r>
        <w:t xml:space="preserve">to the extent practicable. </w:t>
      </w:r>
      <w:r w:rsidR="0053666B">
        <w:t>As such</w:t>
      </w:r>
      <w:r>
        <w:t xml:space="preserve"> the UPI fee model proposals set out in this paper are intended to </w:t>
      </w:r>
      <w:r w:rsidR="00B35BAC">
        <w:t xml:space="preserve">build on the </w:t>
      </w:r>
      <w:r>
        <w:t xml:space="preserve">existing </w:t>
      </w:r>
      <w:r w:rsidR="005D3445">
        <w:t>framework</w:t>
      </w:r>
      <w:r>
        <w:t xml:space="preserve"> and recogni</w:t>
      </w:r>
      <w:r w:rsidR="00750920">
        <w:t>s</w:t>
      </w:r>
      <w:r>
        <w:t xml:space="preserve">e that the UPI service will have specific and distinct needs.  </w:t>
      </w:r>
    </w:p>
    <w:p w14:paraId="02844DDA" w14:textId="0EFDDB67" w:rsidR="00185AC3" w:rsidRPr="0048715D" w:rsidRDefault="00185AC3" w:rsidP="0048715D">
      <w:pPr>
        <w:spacing w:line="276" w:lineRule="auto"/>
        <w:jc w:val="both"/>
      </w:pPr>
      <w:r w:rsidRPr="0048715D">
        <w:t xml:space="preserve">The purpose of this consultation is to solicit industry feedback on proposed principles underlying the DSB Fee Model for the Unique Product Identifier Service from as broad a spectrum of participants as possible – both in terms of geographic diversity as well as from a range of differing market structure participants. Feedback provided in response to this consultation will be collated and incorporated into the proposals set out in the second round of consultation that will follow, in line with the timelines set out in section </w:t>
      </w:r>
      <w:r w:rsidRPr="0048715D">
        <w:fldChar w:fldCharType="begin"/>
      </w:r>
      <w:r w:rsidRPr="0048715D">
        <w:instrText xml:space="preserve"> REF _Ref57812588 \r \h  \* MERGEFORMAT </w:instrText>
      </w:r>
      <w:r w:rsidRPr="0048715D">
        <w:fldChar w:fldCharType="separate"/>
      </w:r>
      <w:r w:rsidRPr="0048715D">
        <w:t>2</w:t>
      </w:r>
      <w:r w:rsidRPr="0048715D">
        <w:fldChar w:fldCharType="end"/>
      </w:r>
      <w:r w:rsidRPr="0048715D">
        <w:t xml:space="preserve"> of this paper. </w:t>
      </w:r>
    </w:p>
    <w:p w14:paraId="28AB64B6" w14:textId="26655689" w:rsidR="00185AC3" w:rsidRPr="0048715D" w:rsidRDefault="00185AC3" w:rsidP="0048715D">
      <w:pPr>
        <w:spacing w:line="276" w:lineRule="auto"/>
        <w:jc w:val="both"/>
      </w:pPr>
      <w:r w:rsidRPr="0048715D">
        <w:t xml:space="preserve">This consultation paper commences by providing an overview of key facts about the UPI including purpose, </w:t>
      </w:r>
      <w:r w:rsidR="0090225F" w:rsidRPr="0048715D">
        <w:t>timelines,</w:t>
      </w:r>
      <w:r w:rsidRPr="0048715D">
        <w:t xml:space="preserve"> and governance in section </w:t>
      </w:r>
      <w:r w:rsidRPr="0048715D">
        <w:fldChar w:fldCharType="begin"/>
      </w:r>
      <w:r w:rsidRPr="0048715D">
        <w:instrText xml:space="preserve"> REF _Ref57896532 \r \h  \* MERGEFORMAT </w:instrText>
      </w:r>
      <w:r w:rsidRPr="0048715D">
        <w:fldChar w:fldCharType="separate"/>
      </w:r>
      <w:r w:rsidRPr="0048715D">
        <w:t>3</w:t>
      </w:r>
      <w:r w:rsidRPr="0048715D">
        <w:fldChar w:fldCharType="end"/>
      </w:r>
      <w:r w:rsidRPr="0048715D">
        <w:t xml:space="preserve">. The paper then sets out key assumptions in section </w:t>
      </w:r>
      <w:r w:rsidRPr="0048715D">
        <w:fldChar w:fldCharType="begin"/>
      </w:r>
      <w:r w:rsidRPr="0048715D">
        <w:instrText xml:space="preserve"> REF _Ref57896470 \r \h  \* MERGEFORMAT </w:instrText>
      </w:r>
      <w:r w:rsidRPr="0048715D">
        <w:fldChar w:fldCharType="separate"/>
      </w:r>
      <w:r w:rsidRPr="0048715D">
        <w:t>4</w:t>
      </w:r>
      <w:r w:rsidRPr="0048715D">
        <w:fldChar w:fldCharType="end"/>
      </w:r>
      <w:r w:rsidRPr="0048715D">
        <w:t xml:space="preserve"> which include expectations of UPI adoption timelines, UPI creation estimates, expectations of alignment with other international data standards that are applicable to OTC derivatives, implementation efficiency drivers, and last but not least next steps relating to ongoing work by the DSB Product Committee and DSB Technology Advisory Committee. </w:t>
      </w:r>
    </w:p>
    <w:p w14:paraId="52435CA8" w14:textId="77777777" w:rsidR="00185AC3" w:rsidRPr="0048715D" w:rsidRDefault="00185AC3" w:rsidP="0048715D">
      <w:pPr>
        <w:spacing w:line="276" w:lineRule="auto"/>
        <w:jc w:val="both"/>
      </w:pPr>
      <w:bookmarkStart w:id="5" w:name="_Toc8250278"/>
      <w:r w:rsidRPr="0048715D">
        <w:t xml:space="preserve">The Consultation Considerations element of this paper, set out on section 5, outlines the questions being asked, supported by analytical context and where the proposed next steps have a cost impact, the key cost drivers have been detailed to allow industry to make a determination about whether they concur with the assumptions and principles set out in the document, or propose alternate evidence driven considerations that they believe should be utilized instead and/or alongside the proposals set out in this paper. Respondents also </w:t>
      </w:r>
      <w:proofErr w:type="gramStart"/>
      <w:r w:rsidRPr="0048715D">
        <w:t>have the ability to</w:t>
      </w:r>
      <w:proofErr w:type="gramEnd"/>
      <w:r w:rsidRPr="0048715D">
        <w:t xml:space="preserve"> provide any general comments in the final section of the response form provided at the end of this paper. </w:t>
      </w:r>
    </w:p>
    <w:p w14:paraId="7D466EE5" w14:textId="77777777" w:rsidR="00185AC3" w:rsidRPr="0048715D" w:rsidRDefault="00185AC3" w:rsidP="0048715D">
      <w:pPr>
        <w:spacing w:line="276" w:lineRule="auto"/>
        <w:jc w:val="both"/>
      </w:pPr>
      <w:r w:rsidRPr="0048715D">
        <w:t xml:space="preserve">The DSB works to ensure the broad views and needs of the stakeholders lead the direction of development of the service. By working collaboratively, the DSB has historically been able to ensure all views are considered, and it is hoped that a representative set of firms will seek to respond to this consultation. All responses will be published on the DSB’s website, with respondents able to indicate </w:t>
      </w:r>
      <w:r w:rsidRPr="0048715D">
        <w:lastRenderedPageBreak/>
        <w:t xml:space="preserve">in the response form if they wish the name of their institution to remain anonymous at the point of publication. All responses should be submitted using the form provided in section </w:t>
      </w:r>
      <w:r w:rsidRPr="0048715D">
        <w:fldChar w:fldCharType="begin"/>
      </w:r>
      <w:r w:rsidRPr="0048715D">
        <w:instrText xml:space="preserve"> REF _Ref57817085 \r \h  \* MERGEFORMAT </w:instrText>
      </w:r>
      <w:r w:rsidRPr="0048715D">
        <w:fldChar w:fldCharType="separate"/>
      </w:r>
      <w:r w:rsidRPr="0048715D">
        <w:t>6.2</w:t>
      </w:r>
      <w:r w:rsidRPr="0048715D">
        <w:fldChar w:fldCharType="end"/>
      </w:r>
      <w:r w:rsidRPr="0048715D">
        <w:t xml:space="preserve"> of this paper, and sent to </w:t>
      </w:r>
      <w:hyperlink r:id="rId12" w:history="1">
        <w:r w:rsidRPr="0048715D">
          <w:rPr>
            <w:rStyle w:val="Hyperlink"/>
          </w:rPr>
          <w:t>industry_consultation@anna-dsb.com</w:t>
        </w:r>
      </w:hyperlink>
      <w:r w:rsidRPr="0048715D">
        <w:t> no later than 5pm UTC on 5</w:t>
      </w:r>
      <w:r w:rsidRPr="0048715D">
        <w:rPr>
          <w:vertAlign w:val="superscript"/>
        </w:rPr>
        <w:t>th</w:t>
      </w:r>
      <w:r w:rsidRPr="0048715D">
        <w:t xml:space="preserve"> March 2021. </w:t>
      </w:r>
    </w:p>
    <w:p w14:paraId="12194D8A" w14:textId="77777777" w:rsidR="00185AC3" w:rsidRPr="0048715D" w:rsidRDefault="00185AC3" w:rsidP="0048715D">
      <w:pPr>
        <w:spacing w:line="276" w:lineRule="auto"/>
        <w:jc w:val="both"/>
      </w:pPr>
      <w:r w:rsidRPr="0048715D">
        <w:t>An explanatory webinar, also providing an opportunity for industry questions to be addressed, will be held at 1pm UTC (1pm UK, 2pm CET, 8am EST) on Wednesday 3</w:t>
      </w:r>
      <w:r w:rsidRPr="0048715D">
        <w:rPr>
          <w:vertAlign w:val="superscript"/>
        </w:rPr>
        <w:t>rd</w:t>
      </w:r>
      <w:r w:rsidRPr="0048715D">
        <w:t xml:space="preserve"> February 2021. All participants are welcome, with a recording to be made available following the event. Registration is required in advance via </w:t>
      </w:r>
      <w:hyperlink r:id="rId13" w:history="1">
        <w:r w:rsidRPr="0048715D">
          <w:rPr>
            <w:rStyle w:val="Hyperlink"/>
          </w:rPr>
          <w:t>DSB website</w:t>
        </w:r>
      </w:hyperlink>
      <w:r w:rsidRPr="0048715D">
        <w:rPr>
          <w:rStyle w:val="FootnoteReference"/>
        </w:rPr>
        <w:footnoteReference w:id="4"/>
      </w:r>
      <w:r w:rsidRPr="0048715D">
        <w:t>.</w:t>
      </w:r>
    </w:p>
    <w:p w14:paraId="6FC074D5" w14:textId="77777777" w:rsidR="00185AC3" w:rsidRDefault="00185AC3" w:rsidP="0048715D">
      <w:pPr>
        <w:spacing w:line="276" w:lineRule="auto"/>
        <w:jc w:val="both"/>
      </w:pPr>
    </w:p>
    <w:p w14:paraId="454EF714" w14:textId="77777777" w:rsidR="00185AC3" w:rsidRPr="003B1848" w:rsidRDefault="00185AC3" w:rsidP="0048715D">
      <w:pPr>
        <w:pStyle w:val="Heading1"/>
        <w:spacing w:before="0" w:line="276" w:lineRule="auto"/>
        <w:jc w:val="both"/>
        <w:rPr>
          <w:color w:val="30AEB9"/>
        </w:rPr>
      </w:pPr>
      <w:bookmarkStart w:id="6" w:name="_Toc38982531"/>
      <w:bookmarkStart w:id="7" w:name="_Toc38982613"/>
      <w:bookmarkStart w:id="8" w:name="_Toc38982871"/>
      <w:bookmarkStart w:id="9" w:name="_Toc38982990"/>
      <w:bookmarkStart w:id="10" w:name="_Toc38983072"/>
      <w:bookmarkStart w:id="11" w:name="_Toc38983155"/>
      <w:bookmarkStart w:id="12" w:name="_Toc38983561"/>
      <w:bookmarkStart w:id="13" w:name="_Toc39061476"/>
      <w:bookmarkStart w:id="14" w:name="_Toc38982532"/>
      <w:bookmarkStart w:id="15" w:name="_Toc38982614"/>
      <w:bookmarkStart w:id="16" w:name="_Toc38982872"/>
      <w:bookmarkStart w:id="17" w:name="_Toc38982991"/>
      <w:bookmarkStart w:id="18" w:name="_Toc38983073"/>
      <w:bookmarkStart w:id="19" w:name="_Toc38983156"/>
      <w:bookmarkStart w:id="20" w:name="_Toc38983562"/>
      <w:bookmarkStart w:id="21" w:name="_Toc39061477"/>
      <w:bookmarkStart w:id="22" w:name="_Toc38842400"/>
      <w:bookmarkStart w:id="23" w:name="_Ref57812588"/>
      <w:bookmarkStart w:id="24" w:name="_Toc60651759"/>
      <w:bookmarkStart w:id="25" w:name="_Toc6125591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3B1848">
        <w:rPr>
          <w:color w:val="30AEB9"/>
        </w:rPr>
        <w:t>Consultation Timeline</w:t>
      </w:r>
      <w:bookmarkEnd w:id="22"/>
      <w:bookmarkEnd w:id="23"/>
      <w:bookmarkEnd w:id="24"/>
      <w:bookmarkEnd w:id="25"/>
      <w:r w:rsidRPr="003B1848">
        <w:rPr>
          <w:color w:val="30AEB9"/>
        </w:rPr>
        <w:t xml:space="preserve"> </w:t>
      </w:r>
    </w:p>
    <w:p w14:paraId="7D169359" w14:textId="77777777" w:rsidR="00F6296B" w:rsidRPr="001645EE" w:rsidRDefault="00F6296B" w:rsidP="001645EE">
      <w:pPr>
        <w:spacing w:after="0" w:line="276" w:lineRule="auto"/>
        <w:jc w:val="both"/>
        <w:rPr>
          <w:sz w:val="16"/>
          <w:szCs w:val="16"/>
        </w:rPr>
      </w:pPr>
      <w:bookmarkStart w:id="26" w:name="_Toc38982534"/>
      <w:bookmarkStart w:id="27" w:name="_Toc38982616"/>
      <w:bookmarkStart w:id="28" w:name="_Toc38982874"/>
      <w:bookmarkStart w:id="29" w:name="_Toc38982993"/>
      <w:bookmarkStart w:id="30" w:name="_Toc38983075"/>
      <w:bookmarkStart w:id="31" w:name="_Toc38983158"/>
      <w:bookmarkStart w:id="32" w:name="_Toc38983564"/>
      <w:bookmarkStart w:id="33" w:name="_Toc39061479"/>
      <w:bookmarkStart w:id="34" w:name="_Toc38982536"/>
      <w:bookmarkStart w:id="35" w:name="_Toc38982618"/>
      <w:bookmarkStart w:id="36" w:name="_Toc38982876"/>
      <w:bookmarkStart w:id="37" w:name="_Toc38982995"/>
      <w:bookmarkStart w:id="38" w:name="_Toc38983077"/>
      <w:bookmarkStart w:id="39" w:name="_Toc38983160"/>
      <w:bookmarkStart w:id="40" w:name="_Toc38983566"/>
      <w:bookmarkStart w:id="41" w:name="_Toc39061481"/>
      <w:bookmarkEnd w:id="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7A04B87" w14:textId="7E50CEB3" w:rsidR="00185AC3" w:rsidRDefault="00185AC3" w:rsidP="0048715D">
      <w:pPr>
        <w:spacing w:line="276" w:lineRule="auto"/>
        <w:jc w:val="both"/>
      </w:pPr>
      <w:r>
        <w:t xml:space="preserve">The timeline above is with respect to the UPI Fee Model Consultation process. The DSB will separately consult with users on the terms of the Access and Usage Agreement for the UPI service with timelines to be announced in 2021. </w:t>
      </w:r>
    </w:p>
    <w:tbl>
      <w:tblPr>
        <w:tblpPr w:leftFromText="180" w:rightFromText="180" w:vertAnchor="page" w:horzAnchor="margin" w:tblpY="4909"/>
        <w:tblW w:w="9166" w:type="dxa"/>
        <w:tblLook w:val="04A0" w:firstRow="1" w:lastRow="0" w:firstColumn="1" w:lastColumn="0" w:noHBand="0" w:noVBand="1"/>
      </w:tblPr>
      <w:tblGrid>
        <w:gridCol w:w="6946"/>
        <w:gridCol w:w="2220"/>
      </w:tblGrid>
      <w:tr w:rsidR="00C75C08" w:rsidRPr="00EC7CBE" w14:paraId="451D35DB" w14:textId="77777777" w:rsidTr="00F6607D">
        <w:trPr>
          <w:trHeight w:val="500"/>
          <w:tblHeader/>
        </w:trPr>
        <w:tc>
          <w:tcPr>
            <w:tcW w:w="6946" w:type="dxa"/>
            <w:tcBorders>
              <w:top w:val="nil"/>
              <w:left w:val="nil"/>
              <w:bottom w:val="single" w:sz="4" w:space="0" w:color="7AD5DC"/>
              <w:right w:val="nil"/>
            </w:tcBorders>
            <w:shd w:val="clear" w:color="000000" w:fill="30AEB9"/>
            <w:noWrap/>
            <w:vAlign w:val="center"/>
            <w:hideMark/>
          </w:tcPr>
          <w:p w14:paraId="522A7470" w14:textId="77777777" w:rsidR="00C75C08" w:rsidRPr="00EC7CBE" w:rsidRDefault="00C75C08" w:rsidP="0048715D">
            <w:pPr>
              <w:spacing w:after="0" w:line="276" w:lineRule="auto"/>
              <w:jc w:val="both"/>
              <w:rPr>
                <w:rFonts w:ascii="Calibri" w:eastAsia="Times New Roman" w:hAnsi="Calibri" w:cs="Calibri"/>
                <w:b/>
                <w:bCs/>
                <w:color w:val="FFFFFF"/>
                <w:lang w:eastAsia="en-GB"/>
              </w:rPr>
            </w:pPr>
            <w:r w:rsidRPr="00EC7CBE">
              <w:rPr>
                <w:rFonts w:ascii="Calibri" w:eastAsia="Times New Roman" w:hAnsi="Calibri" w:cs="Calibri"/>
                <w:b/>
                <w:bCs/>
                <w:color w:val="FFFFFF"/>
                <w:lang w:eastAsia="en-GB"/>
              </w:rPr>
              <w:t>Milestone</w:t>
            </w:r>
          </w:p>
        </w:tc>
        <w:tc>
          <w:tcPr>
            <w:tcW w:w="2220" w:type="dxa"/>
            <w:tcBorders>
              <w:top w:val="nil"/>
              <w:left w:val="nil"/>
              <w:bottom w:val="single" w:sz="4" w:space="0" w:color="7AD5DC"/>
              <w:right w:val="nil"/>
            </w:tcBorders>
            <w:shd w:val="clear" w:color="000000" w:fill="30AEB9"/>
            <w:noWrap/>
            <w:vAlign w:val="center"/>
            <w:hideMark/>
          </w:tcPr>
          <w:p w14:paraId="41C1DBE2" w14:textId="77777777" w:rsidR="00C75C08" w:rsidRPr="00EC7CBE" w:rsidRDefault="00C75C08" w:rsidP="0048715D">
            <w:pPr>
              <w:spacing w:after="0" w:line="276" w:lineRule="auto"/>
              <w:jc w:val="both"/>
              <w:rPr>
                <w:rFonts w:ascii="Calibri" w:eastAsia="Times New Roman" w:hAnsi="Calibri" w:cs="Calibri"/>
                <w:b/>
                <w:bCs/>
                <w:color w:val="FFFFFF"/>
                <w:lang w:eastAsia="en-GB"/>
              </w:rPr>
            </w:pPr>
            <w:r w:rsidRPr="00EC7CBE">
              <w:rPr>
                <w:rFonts w:ascii="Calibri" w:eastAsia="Times New Roman" w:hAnsi="Calibri" w:cs="Calibri"/>
                <w:b/>
                <w:bCs/>
                <w:color w:val="FFFFFF"/>
                <w:lang w:eastAsia="en-GB"/>
              </w:rPr>
              <w:t>Date</w:t>
            </w:r>
          </w:p>
        </w:tc>
      </w:tr>
      <w:tr w:rsidR="00C75C08" w:rsidRPr="00EC7CBE" w14:paraId="63D77813" w14:textId="77777777" w:rsidTr="00F6607D">
        <w:trPr>
          <w:trHeight w:val="500"/>
        </w:trPr>
        <w:tc>
          <w:tcPr>
            <w:tcW w:w="6946" w:type="dxa"/>
            <w:tcBorders>
              <w:top w:val="single" w:sz="4" w:space="0" w:color="7AD5DC"/>
              <w:left w:val="single" w:sz="4" w:space="0" w:color="7AD5DC"/>
              <w:bottom w:val="single" w:sz="4" w:space="0" w:color="7AD5DC"/>
              <w:right w:val="single" w:sz="4" w:space="0" w:color="7AD5DC"/>
            </w:tcBorders>
            <w:shd w:val="clear" w:color="auto" w:fill="auto"/>
            <w:noWrap/>
            <w:vAlign w:val="center"/>
            <w:hideMark/>
          </w:tcPr>
          <w:p w14:paraId="0CA7FAB6" w14:textId="77777777"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Publication of DSB UPI Fee Model Consultation #1</w:t>
            </w:r>
          </w:p>
        </w:tc>
        <w:tc>
          <w:tcPr>
            <w:tcW w:w="2220" w:type="dxa"/>
            <w:tcBorders>
              <w:top w:val="single" w:sz="4" w:space="0" w:color="7AD5DC"/>
              <w:left w:val="single" w:sz="4" w:space="0" w:color="7AD5DC"/>
              <w:bottom w:val="single" w:sz="4" w:space="0" w:color="7AD5DC"/>
              <w:right w:val="single" w:sz="4" w:space="0" w:color="7AD5DC"/>
            </w:tcBorders>
            <w:shd w:val="clear" w:color="auto" w:fill="auto"/>
            <w:noWrap/>
            <w:vAlign w:val="center"/>
            <w:hideMark/>
          </w:tcPr>
          <w:p w14:paraId="2349DE07" w14:textId="77777777"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Mon</w:t>
            </w:r>
            <w:r w:rsidRPr="00EC7CBE" w:rsidDel="000E15C7">
              <w:rPr>
                <w:rFonts w:ascii="Calibri" w:eastAsia="Times New Roman" w:hAnsi="Calibri" w:cs="Calibri"/>
                <w:color w:val="000000"/>
                <w:lang w:eastAsia="en-GB"/>
              </w:rPr>
              <w:t xml:space="preserve"> </w:t>
            </w:r>
            <w:r w:rsidRPr="00EC7CBE">
              <w:rPr>
                <w:rFonts w:ascii="Calibri" w:eastAsia="Times New Roman" w:hAnsi="Calibri" w:cs="Calibri"/>
                <w:color w:val="000000"/>
                <w:lang w:eastAsia="en-GB"/>
              </w:rPr>
              <w:t>11 Jan 2021</w:t>
            </w:r>
          </w:p>
        </w:tc>
      </w:tr>
      <w:tr w:rsidR="00C75C08" w:rsidRPr="00EC7CBE" w14:paraId="7E0CA290" w14:textId="77777777" w:rsidTr="00F6607D">
        <w:trPr>
          <w:trHeight w:val="500"/>
        </w:trPr>
        <w:tc>
          <w:tcPr>
            <w:tcW w:w="6946" w:type="dxa"/>
            <w:tcBorders>
              <w:top w:val="single" w:sz="4" w:space="0" w:color="7AD5DC"/>
              <w:left w:val="single" w:sz="4" w:space="0" w:color="7AD5DC"/>
              <w:bottom w:val="single" w:sz="4" w:space="0" w:color="7AD5DC"/>
              <w:right w:val="single" w:sz="4" w:space="0" w:color="7AD5DC"/>
            </w:tcBorders>
            <w:shd w:val="clear" w:color="auto" w:fill="auto"/>
            <w:noWrap/>
            <w:vAlign w:val="center"/>
            <w:hideMark/>
          </w:tcPr>
          <w:p w14:paraId="5C266052" w14:textId="6AB708D6"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Explanatory webinar 1</w:t>
            </w:r>
            <w:r w:rsidR="00E24150">
              <w:rPr>
                <w:rStyle w:val="FootnoteReference"/>
                <w:rFonts w:ascii="Calibri" w:eastAsia="Times New Roman" w:hAnsi="Calibri" w:cs="Calibri"/>
                <w:color w:val="000000"/>
                <w:lang w:eastAsia="en-GB"/>
              </w:rPr>
              <w:footnoteReference w:id="5"/>
            </w:r>
            <w:r w:rsidRPr="00EC7CBE">
              <w:rPr>
                <w:rFonts w:ascii="Calibri" w:eastAsia="Times New Roman" w:hAnsi="Calibri" w:cs="Calibri"/>
                <w:color w:val="000000"/>
                <w:lang w:eastAsia="en-GB"/>
              </w:rPr>
              <w:t xml:space="preserve"> (for attendees in Asia + Australia</w:t>
            </w:r>
            <w:r w:rsidRPr="00881013">
              <w:rPr>
                <w:rFonts w:ascii="Calibri" w:eastAsia="Times New Roman" w:hAnsi="Calibri" w:cs="Calibri"/>
                <w:color w:val="000000"/>
                <w:lang w:eastAsia="en-GB"/>
              </w:rPr>
              <w:t xml:space="preserve">) </w:t>
            </w:r>
            <w:hyperlink r:id="rId14" w:history="1">
              <w:r w:rsidRPr="00F6607D">
                <w:rPr>
                  <w:rStyle w:val="Hyperlink"/>
                </w:rPr>
                <w:t>Register here</w:t>
              </w:r>
            </w:hyperlink>
          </w:p>
        </w:tc>
        <w:tc>
          <w:tcPr>
            <w:tcW w:w="2220" w:type="dxa"/>
            <w:tcBorders>
              <w:top w:val="single" w:sz="4" w:space="0" w:color="7AD5DC"/>
              <w:left w:val="single" w:sz="4" w:space="0" w:color="7AD5DC"/>
              <w:bottom w:val="single" w:sz="4" w:space="0" w:color="7AD5DC"/>
              <w:right w:val="single" w:sz="4" w:space="0" w:color="7AD5DC"/>
            </w:tcBorders>
            <w:shd w:val="clear" w:color="auto" w:fill="auto"/>
            <w:noWrap/>
            <w:vAlign w:val="center"/>
            <w:hideMark/>
          </w:tcPr>
          <w:p w14:paraId="474A0773" w14:textId="77777777"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Tue 2 Feb 2021</w:t>
            </w:r>
          </w:p>
        </w:tc>
      </w:tr>
      <w:tr w:rsidR="00C75C08" w:rsidRPr="00EC7CBE" w14:paraId="49E1F3F5" w14:textId="77777777" w:rsidTr="00F6607D">
        <w:trPr>
          <w:trHeight w:val="500"/>
        </w:trPr>
        <w:tc>
          <w:tcPr>
            <w:tcW w:w="6946" w:type="dxa"/>
            <w:tcBorders>
              <w:top w:val="single" w:sz="4" w:space="0" w:color="7AD5DC"/>
              <w:left w:val="single" w:sz="4" w:space="0" w:color="7AD5DC"/>
              <w:bottom w:val="single" w:sz="4" w:space="0" w:color="7AD5DC"/>
              <w:right w:val="single" w:sz="4" w:space="0" w:color="7AD5DC"/>
            </w:tcBorders>
            <w:shd w:val="clear" w:color="auto" w:fill="auto"/>
            <w:noWrap/>
            <w:vAlign w:val="center"/>
          </w:tcPr>
          <w:p w14:paraId="45C55BB5" w14:textId="67AA2B61"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Explanatory webinar 2</w:t>
            </w:r>
            <w:r w:rsidR="00E24150" w:rsidRPr="00D7790B">
              <w:rPr>
                <w:rFonts w:ascii="Calibri" w:eastAsia="Times New Roman" w:hAnsi="Calibri" w:cs="Calibri"/>
                <w:color w:val="000000"/>
                <w:vertAlign w:val="superscript"/>
                <w:lang w:eastAsia="en-GB"/>
              </w:rPr>
              <w:t>4</w:t>
            </w:r>
            <w:r w:rsidRPr="00EC7CBE">
              <w:rPr>
                <w:rFonts w:ascii="Calibri" w:eastAsia="Times New Roman" w:hAnsi="Calibri" w:cs="Calibri"/>
                <w:color w:val="000000"/>
                <w:lang w:eastAsia="en-GB"/>
              </w:rPr>
              <w:t xml:space="preserve"> (for attendees in the ROW) </w:t>
            </w:r>
            <w:hyperlink r:id="rId15" w:history="1">
              <w:r w:rsidRPr="00EC7CBE">
                <w:rPr>
                  <w:rStyle w:val="Hyperlink"/>
                </w:rPr>
                <w:t>Register here</w:t>
              </w:r>
            </w:hyperlink>
          </w:p>
        </w:tc>
        <w:tc>
          <w:tcPr>
            <w:tcW w:w="2220" w:type="dxa"/>
            <w:tcBorders>
              <w:top w:val="single" w:sz="4" w:space="0" w:color="7AD5DC"/>
              <w:left w:val="single" w:sz="4" w:space="0" w:color="7AD5DC"/>
              <w:bottom w:val="single" w:sz="4" w:space="0" w:color="7AD5DC"/>
              <w:right w:val="single" w:sz="4" w:space="0" w:color="7AD5DC"/>
            </w:tcBorders>
            <w:shd w:val="clear" w:color="auto" w:fill="auto"/>
            <w:noWrap/>
            <w:vAlign w:val="center"/>
          </w:tcPr>
          <w:p w14:paraId="3F5C1016" w14:textId="77777777"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Wed 3 Feb 2021</w:t>
            </w:r>
          </w:p>
        </w:tc>
      </w:tr>
      <w:tr w:rsidR="00C75C08" w:rsidRPr="00EC7CBE" w14:paraId="17C09BB2" w14:textId="77777777" w:rsidTr="00F6607D">
        <w:trPr>
          <w:trHeight w:val="500"/>
        </w:trPr>
        <w:tc>
          <w:tcPr>
            <w:tcW w:w="6946" w:type="dxa"/>
            <w:tcBorders>
              <w:top w:val="single" w:sz="4" w:space="0" w:color="7AD5DC"/>
              <w:left w:val="single" w:sz="4" w:space="0" w:color="7AD5DC"/>
              <w:bottom w:val="single" w:sz="4" w:space="0" w:color="7AD5DC"/>
              <w:right w:val="single" w:sz="4" w:space="0" w:color="7AD5DC"/>
            </w:tcBorders>
            <w:shd w:val="clear" w:color="auto" w:fill="auto"/>
            <w:noWrap/>
            <w:vAlign w:val="center"/>
            <w:hideMark/>
          </w:tcPr>
          <w:p w14:paraId="7C58E148" w14:textId="77777777"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Industry Feedback deadline (for UPI Fee Model Consultation #1)</w:t>
            </w:r>
          </w:p>
        </w:tc>
        <w:tc>
          <w:tcPr>
            <w:tcW w:w="2220" w:type="dxa"/>
            <w:tcBorders>
              <w:top w:val="single" w:sz="4" w:space="0" w:color="7AD5DC"/>
              <w:left w:val="single" w:sz="4" w:space="0" w:color="7AD5DC"/>
              <w:bottom w:val="single" w:sz="4" w:space="0" w:color="7AD5DC"/>
              <w:right w:val="single" w:sz="4" w:space="0" w:color="7AD5DC"/>
            </w:tcBorders>
            <w:shd w:val="clear" w:color="auto" w:fill="auto"/>
            <w:noWrap/>
            <w:vAlign w:val="center"/>
            <w:hideMark/>
          </w:tcPr>
          <w:p w14:paraId="78C77AD8" w14:textId="77777777"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Fri</w:t>
            </w:r>
            <w:r w:rsidRPr="00EC7CBE" w:rsidDel="000E15C7">
              <w:rPr>
                <w:rFonts w:ascii="Calibri" w:eastAsia="Times New Roman" w:hAnsi="Calibri" w:cs="Calibri"/>
                <w:color w:val="000000"/>
                <w:lang w:eastAsia="en-GB"/>
              </w:rPr>
              <w:t xml:space="preserve"> </w:t>
            </w:r>
            <w:r w:rsidRPr="00EC7CBE">
              <w:rPr>
                <w:rFonts w:ascii="Calibri" w:eastAsia="Times New Roman" w:hAnsi="Calibri" w:cs="Calibri"/>
                <w:color w:val="000000"/>
                <w:lang w:eastAsia="en-GB"/>
              </w:rPr>
              <w:t>5 Mar 2021</w:t>
            </w:r>
          </w:p>
        </w:tc>
      </w:tr>
      <w:tr w:rsidR="00C75C08" w:rsidRPr="00EC7CBE" w14:paraId="5789C013" w14:textId="77777777" w:rsidTr="00F6607D">
        <w:trPr>
          <w:trHeight w:val="500"/>
        </w:trPr>
        <w:tc>
          <w:tcPr>
            <w:tcW w:w="6946" w:type="dxa"/>
            <w:tcBorders>
              <w:top w:val="single" w:sz="4" w:space="0" w:color="7AD5DC"/>
              <w:left w:val="single" w:sz="4" w:space="0" w:color="7AD5DC"/>
              <w:bottom w:val="single" w:sz="4" w:space="0" w:color="7AD5DC"/>
              <w:right w:val="single" w:sz="4" w:space="0" w:color="7AD5DC"/>
            </w:tcBorders>
            <w:shd w:val="clear" w:color="auto" w:fill="auto"/>
            <w:noWrap/>
            <w:vAlign w:val="center"/>
            <w:hideMark/>
          </w:tcPr>
          <w:p w14:paraId="5321AC71" w14:textId="77777777"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Publication of DSB UPI Fee Model Consultation #2</w:t>
            </w:r>
          </w:p>
        </w:tc>
        <w:tc>
          <w:tcPr>
            <w:tcW w:w="2220" w:type="dxa"/>
            <w:tcBorders>
              <w:top w:val="single" w:sz="4" w:space="0" w:color="7AD5DC"/>
              <w:left w:val="single" w:sz="4" w:space="0" w:color="7AD5DC"/>
              <w:bottom w:val="single" w:sz="4" w:space="0" w:color="7AD5DC"/>
              <w:right w:val="single" w:sz="4" w:space="0" w:color="7AD5DC"/>
            </w:tcBorders>
            <w:shd w:val="clear" w:color="auto" w:fill="auto"/>
            <w:noWrap/>
            <w:vAlign w:val="center"/>
            <w:hideMark/>
          </w:tcPr>
          <w:p w14:paraId="4DE14E68" w14:textId="77777777"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Mon 10 May 2021</w:t>
            </w:r>
          </w:p>
        </w:tc>
      </w:tr>
      <w:tr w:rsidR="00C75C08" w:rsidRPr="00EC7CBE" w14:paraId="104020B4" w14:textId="77777777" w:rsidTr="00F6607D">
        <w:trPr>
          <w:trHeight w:val="500"/>
        </w:trPr>
        <w:tc>
          <w:tcPr>
            <w:tcW w:w="6946" w:type="dxa"/>
            <w:tcBorders>
              <w:top w:val="single" w:sz="4" w:space="0" w:color="7AD5DC"/>
              <w:left w:val="single" w:sz="4" w:space="0" w:color="7AD5DC"/>
              <w:bottom w:val="single" w:sz="4" w:space="0" w:color="7AD5DC"/>
              <w:right w:val="single" w:sz="4" w:space="0" w:color="7AD5DC"/>
            </w:tcBorders>
            <w:shd w:val="clear" w:color="auto" w:fill="auto"/>
            <w:noWrap/>
            <w:vAlign w:val="center"/>
            <w:hideMark/>
          </w:tcPr>
          <w:p w14:paraId="5A9A8001" w14:textId="77777777"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Industry Feedback deadline (for UPI Fee Model Consultation #2)</w:t>
            </w:r>
          </w:p>
        </w:tc>
        <w:tc>
          <w:tcPr>
            <w:tcW w:w="2220" w:type="dxa"/>
            <w:tcBorders>
              <w:top w:val="single" w:sz="4" w:space="0" w:color="7AD5DC"/>
              <w:left w:val="single" w:sz="4" w:space="0" w:color="7AD5DC"/>
              <w:bottom w:val="single" w:sz="4" w:space="0" w:color="7AD5DC"/>
              <w:right w:val="single" w:sz="4" w:space="0" w:color="7AD5DC"/>
            </w:tcBorders>
            <w:shd w:val="clear" w:color="auto" w:fill="auto"/>
            <w:noWrap/>
            <w:vAlign w:val="center"/>
            <w:hideMark/>
          </w:tcPr>
          <w:p w14:paraId="742D7DCD" w14:textId="77777777"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Fri</w:t>
            </w:r>
            <w:r w:rsidRPr="00EC7CBE" w:rsidDel="000E15C7">
              <w:rPr>
                <w:rFonts w:ascii="Calibri" w:eastAsia="Times New Roman" w:hAnsi="Calibri" w:cs="Calibri"/>
                <w:color w:val="000000"/>
                <w:lang w:eastAsia="en-GB"/>
              </w:rPr>
              <w:t xml:space="preserve"> </w:t>
            </w:r>
            <w:r w:rsidRPr="00EC7CBE">
              <w:rPr>
                <w:rFonts w:ascii="Calibri" w:eastAsia="Times New Roman" w:hAnsi="Calibri" w:cs="Calibri"/>
                <w:color w:val="000000"/>
                <w:lang w:eastAsia="en-GB"/>
              </w:rPr>
              <w:t>9 Jul 2021</w:t>
            </w:r>
          </w:p>
        </w:tc>
      </w:tr>
      <w:tr w:rsidR="00C75C08" w:rsidRPr="00EC7CBE" w14:paraId="5100CD20" w14:textId="77777777" w:rsidTr="00F6607D">
        <w:trPr>
          <w:trHeight w:val="500"/>
        </w:trPr>
        <w:tc>
          <w:tcPr>
            <w:tcW w:w="6946" w:type="dxa"/>
            <w:tcBorders>
              <w:top w:val="single" w:sz="4" w:space="0" w:color="7AD5DC"/>
              <w:left w:val="single" w:sz="4" w:space="0" w:color="7AD5DC"/>
              <w:bottom w:val="single" w:sz="4" w:space="0" w:color="7AD5DC"/>
              <w:right w:val="single" w:sz="4" w:space="0" w:color="7AD5DC"/>
            </w:tcBorders>
            <w:shd w:val="clear" w:color="auto" w:fill="auto"/>
            <w:noWrap/>
            <w:vAlign w:val="center"/>
            <w:hideMark/>
          </w:tcPr>
          <w:p w14:paraId="07335D5B" w14:textId="77777777"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Publication of Final DSB UPI Fee Model Report</w:t>
            </w:r>
          </w:p>
        </w:tc>
        <w:tc>
          <w:tcPr>
            <w:tcW w:w="2220" w:type="dxa"/>
            <w:tcBorders>
              <w:top w:val="single" w:sz="4" w:space="0" w:color="7AD5DC"/>
              <w:left w:val="single" w:sz="4" w:space="0" w:color="7AD5DC"/>
              <w:bottom w:val="single" w:sz="4" w:space="0" w:color="7AD5DC"/>
              <w:right w:val="single" w:sz="4" w:space="0" w:color="7AD5DC"/>
            </w:tcBorders>
            <w:shd w:val="clear" w:color="auto" w:fill="auto"/>
            <w:noWrap/>
            <w:vAlign w:val="center"/>
            <w:hideMark/>
          </w:tcPr>
          <w:p w14:paraId="589115DE" w14:textId="77777777" w:rsidR="00C75C08" w:rsidRPr="00EC7CBE" w:rsidRDefault="00C75C08" w:rsidP="0048715D">
            <w:pPr>
              <w:spacing w:after="0" w:line="276" w:lineRule="auto"/>
              <w:jc w:val="both"/>
              <w:rPr>
                <w:rFonts w:ascii="Calibri" w:eastAsia="Times New Roman" w:hAnsi="Calibri" w:cs="Calibri"/>
                <w:color w:val="000000"/>
                <w:lang w:eastAsia="en-GB"/>
              </w:rPr>
            </w:pPr>
            <w:r w:rsidRPr="00EC7CBE">
              <w:rPr>
                <w:rFonts w:ascii="Calibri" w:eastAsia="Times New Roman" w:hAnsi="Calibri" w:cs="Calibri"/>
                <w:color w:val="000000"/>
                <w:lang w:eastAsia="en-GB"/>
              </w:rPr>
              <w:t>Mon</w:t>
            </w:r>
            <w:r w:rsidRPr="00EC7CBE" w:rsidDel="000E15C7">
              <w:rPr>
                <w:rFonts w:ascii="Calibri" w:eastAsia="Times New Roman" w:hAnsi="Calibri" w:cs="Calibri"/>
                <w:color w:val="000000"/>
                <w:lang w:eastAsia="en-GB"/>
              </w:rPr>
              <w:t xml:space="preserve"> </w:t>
            </w:r>
            <w:r w:rsidRPr="00EC7CBE">
              <w:rPr>
                <w:rFonts w:ascii="Calibri" w:eastAsia="Times New Roman" w:hAnsi="Calibri" w:cs="Calibri"/>
                <w:color w:val="000000"/>
                <w:lang w:eastAsia="en-GB"/>
              </w:rPr>
              <w:t>27 Sep 2021</w:t>
            </w:r>
          </w:p>
        </w:tc>
      </w:tr>
    </w:tbl>
    <w:p w14:paraId="41215B7B" w14:textId="77777777" w:rsidR="00185AC3" w:rsidRDefault="00185AC3" w:rsidP="0048715D">
      <w:pPr>
        <w:spacing w:after="240" w:line="276" w:lineRule="auto"/>
        <w:jc w:val="both"/>
        <w:rPr>
          <w:color w:val="30AEB9"/>
        </w:rPr>
      </w:pPr>
      <w:bookmarkStart w:id="42" w:name="_Ref57896532"/>
      <w:bookmarkStart w:id="43" w:name="_Toc38842403"/>
      <w:bookmarkStart w:id="44" w:name="_Toc13087127"/>
      <w:bookmarkStart w:id="45" w:name="_Toc517783478"/>
    </w:p>
    <w:p w14:paraId="37BF43AB" w14:textId="77777777" w:rsidR="00185AC3" w:rsidRDefault="00185AC3" w:rsidP="0048715D">
      <w:pPr>
        <w:pStyle w:val="Heading1"/>
        <w:spacing w:before="0" w:line="276" w:lineRule="auto"/>
        <w:jc w:val="both"/>
        <w:rPr>
          <w:color w:val="30AEB9"/>
        </w:rPr>
      </w:pPr>
      <w:bookmarkStart w:id="46" w:name="_Toc60651760"/>
      <w:bookmarkStart w:id="47" w:name="_Toc61255916"/>
      <w:r>
        <w:rPr>
          <w:color w:val="30AEB9"/>
        </w:rPr>
        <w:t xml:space="preserve">UPI </w:t>
      </w:r>
      <w:bookmarkEnd w:id="42"/>
      <w:r>
        <w:rPr>
          <w:color w:val="30AEB9"/>
        </w:rPr>
        <w:t>Overview</w:t>
      </w:r>
      <w:bookmarkEnd w:id="46"/>
      <w:bookmarkEnd w:id="47"/>
    </w:p>
    <w:p w14:paraId="3F93C3A0" w14:textId="77777777" w:rsidR="00185AC3" w:rsidRPr="00A94BD1" w:rsidRDefault="00185AC3" w:rsidP="0048715D">
      <w:pPr>
        <w:pStyle w:val="Heading2"/>
        <w:spacing w:before="0" w:line="276" w:lineRule="auto"/>
      </w:pPr>
      <w:bookmarkStart w:id="48" w:name="_Toc60651761"/>
      <w:bookmarkStart w:id="49" w:name="_Toc61255917"/>
      <w:r>
        <w:t xml:space="preserve">Purpose of the </w:t>
      </w:r>
      <w:r w:rsidRPr="00A94BD1">
        <w:t>UPI</w:t>
      </w:r>
      <w:bookmarkEnd w:id="48"/>
      <w:bookmarkEnd w:id="49"/>
    </w:p>
    <w:p w14:paraId="22C49610" w14:textId="77777777" w:rsidR="00185AC3" w:rsidRPr="0044190D" w:rsidRDefault="00185AC3" w:rsidP="0048715D">
      <w:pPr>
        <w:spacing w:line="276" w:lineRule="auto"/>
        <w:jc w:val="both"/>
      </w:pPr>
      <w:r w:rsidRPr="003F5F8A">
        <w:t xml:space="preserve">Group of 20 national leaders (G20) agreed at the 2009 Pittsburgh Summit that all OTC derivatives transactions should be reported to trade repositories (TRs) as part of a package of reforms to the OTC derivatives markets. The key driver for establishing the UPI, </w:t>
      </w:r>
      <w:hyperlink r:id="rId16" w:history="1">
        <w:r w:rsidRPr="003F5F8A">
          <w:rPr>
            <w:rStyle w:val="Hyperlink"/>
          </w:rPr>
          <w:t>ISO/WD 4914</w:t>
        </w:r>
      </w:hyperlink>
      <w:r w:rsidRPr="003F5F8A">
        <w:rPr>
          <w:rStyle w:val="FootnoteReference"/>
        </w:rPr>
        <w:footnoteReference w:id="6"/>
      </w:r>
      <w:r w:rsidRPr="003F5F8A">
        <w:t xml:space="preserve"> – which is under development, Unique Transaction Identifiers (UTI), </w:t>
      </w:r>
      <w:hyperlink r:id="rId17" w:history="1">
        <w:r w:rsidRPr="003F5F8A">
          <w:rPr>
            <w:rStyle w:val="Hyperlink"/>
          </w:rPr>
          <w:t>ISO 23897</w:t>
        </w:r>
      </w:hyperlink>
      <w:r w:rsidRPr="003F5F8A">
        <w:rPr>
          <w:rStyle w:val="FootnoteReference"/>
        </w:rPr>
        <w:footnoteReference w:id="7"/>
      </w:r>
      <w:r w:rsidRPr="003F5F8A">
        <w:t xml:space="preserve">, Critical Data Elements (CDE) which will be included in </w:t>
      </w:r>
      <w:hyperlink r:id="rId18" w:history="1">
        <w:r w:rsidRPr="003F5F8A">
          <w:rPr>
            <w:rStyle w:val="Hyperlink"/>
          </w:rPr>
          <w:t>ISO 20022</w:t>
        </w:r>
      </w:hyperlink>
      <w:r w:rsidRPr="003F5F8A">
        <w:rPr>
          <w:rStyle w:val="FootnoteReference"/>
        </w:rPr>
        <w:footnoteReference w:id="8"/>
      </w:r>
      <w:r w:rsidRPr="003F5F8A">
        <w:t xml:space="preserve">, and Legal Entity Identifier (LEI), </w:t>
      </w:r>
      <w:hyperlink r:id="rId19" w:history="1">
        <w:r w:rsidRPr="003F5F8A">
          <w:rPr>
            <w:rStyle w:val="Hyperlink"/>
          </w:rPr>
          <w:t>ISO 17442</w:t>
        </w:r>
      </w:hyperlink>
      <w:r w:rsidRPr="003F5F8A">
        <w:rPr>
          <w:rStyle w:val="FootnoteReference"/>
        </w:rPr>
        <w:footnoteReference w:id="9"/>
      </w:r>
      <w:r w:rsidRPr="003F5F8A">
        <w:t xml:space="preserve">, was to increase transparency in financial markets, mitigate systemic risk, and protect against market abuse following the financial </w:t>
      </w:r>
      <w:r w:rsidRPr="003F5F8A">
        <w:lastRenderedPageBreak/>
        <w:t>crisis that</w:t>
      </w:r>
      <w:r w:rsidRPr="009F5C43">
        <w:t xml:space="preserve"> began in 2007–08. The development of standards for these data elements was in response to a request from the G20 to achieve these objectives. </w:t>
      </w:r>
    </w:p>
    <w:p w14:paraId="6ABD9B7B" w14:textId="77777777" w:rsidR="00185AC3" w:rsidRPr="0044190D" w:rsidRDefault="00185AC3" w:rsidP="0048715D">
      <w:pPr>
        <w:spacing w:line="276" w:lineRule="auto"/>
        <w:jc w:val="both"/>
      </w:pPr>
      <w:r w:rsidRPr="0044190D">
        <w:t>The Committee on Payments and Market Infrastructures (CPMI) and the International Organization of Securities Commissions (IOSCO) published their finalised UPI technical guidance</w:t>
      </w:r>
      <w:r w:rsidRPr="003F5F8A">
        <w:rPr>
          <w:rStyle w:val="FootnoteReference"/>
        </w:rPr>
        <w:footnoteReference w:id="10"/>
      </w:r>
      <w:r w:rsidRPr="003F5F8A">
        <w:t xml:space="preserve"> in September 2017. Under the guidance, a unique UPI code would be assigned to each distinct OTC derivatives product and be mapped to reference data elements with specific values that descri</w:t>
      </w:r>
      <w:r w:rsidRPr="009F5C43">
        <w:t xml:space="preserve">be the product. The collection of reference data elements and their values for each </w:t>
      </w:r>
      <w:r w:rsidRPr="0044190D">
        <w:t xml:space="preserve">product would reside in a UPI reference data library administered by the UPI service provider. </w:t>
      </w:r>
    </w:p>
    <w:p w14:paraId="0702BC51" w14:textId="7E1196C1" w:rsidR="00185AC3" w:rsidRPr="0044190D" w:rsidRDefault="00185AC3" w:rsidP="0048715D">
      <w:pPr>
        <w:spacing w:line="276" w:lineRule="auto"/>
        <w:jc w:val="both"/>
      </w:pPr>
      <w:r w:rsidRPr="0044190D">
        <w:t xml:space="preserve">UPIs are being introduced as a mechanism to identify OTC derivatives products to strengthen banks' risk data aggregation capabilities and internal risk reporting practices and assist G20 regulators to aggregate global OTC derivatives data by either product or UPI reference data element, together with the CDE and UTI. This will provide users, such as banks, with their risk </w:t>
      </w:r>
      <w:r w:rsidR="00292662" w:rsidRPr="0044190D">
        <w:t>analys</w:t>
      </w:r>
      <w:r w:rsidR="00292662">
        <w:t>i</w:t>
      </w:r>
      <w:r w:rsidR="00292662" w:rsidRPr="0044190D">
        <w:t xml:space="preserve">s </w:t>
      </w:r>
      <w:r w:rsidRPr="0044190D">
        <w:t xml:space="preserve">and assist regulators with an improved, consistent view and common understanding of systemic OTC derivative risks. </w:t>
      </w:r>
    </w:p>
    <w:p w14:paraId="0EFF21DB" w14:textId="77777777" w:rsidR="00185AC3" w:rsidRPr="0044190D" w:rsidRDefault="00185AC3" w:rsidP="0048715D">
      <w:pPr>
        <w:spacing w:line="276" w:lineRule="auto"/>
        <w:jc w:val="both"/>
      </w:pPr>
      <w:r w:rsidRPr="0044190D">
        <w:t xml:space="preserve">In the first instance, the role of the UPI is to uniquely identify the product involved in an OTC derivatives transaction and to identify the product in reports that an authority requires, or may require in the future, to be reported to a TR. The UPI will work in conjunction with UTIs and CDEs, which are also expected to be reportable to regulatory authorities. </w:t>
      </w:r>
    </w:p>
    <w:p w14:paraId="6CC28B66" w14:textId="77777777" w:rsidR="00185AC3" w:rsidRPr="003F5F8A" w:rsidRDefault="00185AC3" w:rsidP="0048715D">
      <w:pPr>
        <w:spacing w:line="276" w:lineRule="auto"/>
        <w:jc w:val="both"/>
      </w:pPr>
      <w:r w:rsidRPr="0044190D">
        <w:t>Working alongside the UPI and CDE, the UTI is intended to uniquely identify individual OTC derivatives transactions and when required by authorities to be reported to TRs. The UTI will enable aggregation and analysis of these transactions by users, such as banks, and so authorities can use reported information to fulfil their legal obligations and prudential requirements. Further details about the UTI can be found in the UTI technical guidance document</w:t>
      </w:r>
      <w:r w:rsidRPr="003F5F8A">
        <w:rPr>
          <w:rStyle w:val="FootnoteReference"/>
        </w:rPr>
        <w:footnoteReference w:id="11"/>
      </w:r>
      <w:r w:rsidRPr="003F5F8A">
        <w:t xml:space="preserve"> published in February 2017. </w:t>
      </w:r>
    </w:p>
    <w:p w14:paraId="7E6AB4C6" w14:textId="77777777" w:rsidR="00185AC3" w:rsidRPr="0044190D" w:rsidRDefault="00185AC3" w:rsidP="0048715D">
      <w:pPr>
        <w:spacing w:line="276" w:lineRule="auto"/>
        <w:jc w:val="both"/>
      </w:pPr>
      <w:r w:rsidRPr="009F5C43">
        <w:t>CPM</w:t>
      </w:r>
      <w:r w:rsidRPr="0044190D">
        <w:t>I and IOSCO also published a guidance document on the harmonisation of critical OTC derivatives data elements other than those in the UPI and UTI. The CDE technical guidance document</w:t>
      </w:r>
      <w:r w:rsidRPr="003F5F8A">
        <w:rPr>
          <w:rStyle w:val="FootnoteReference"/>
        </w:rPr>
        <w:footnoteReference w:id="12"/>
      </w:r>
      <w:r w:rsidRPr="003F5F8A">
        <w:t xml:space="preserve">, published in April 2018, provides information about the definition, </w:t>
      </w:r>
      <w:proofErr w:type="gramStart"/>
      <w:r w:rsidRPr="003F5F8A">
        <w:t>form</w:t>
      </w:r>
      <w:r w:rsidRPr="009F5C43">
        <w:t>at</w:t>
      </w:r>
      <w:proofErr w:type="gramEnd"/>
      <w:r w:rsidRPr="009F5C43">
        <w:t xml:space="preserve"> and allowable values of CDE</w:t>
      </w:r>
      <w:r w:rsidRPr="0044190D">
        <w:t xml:space="preserve">s, other than UTI and UPI, reported to TRs that are important to facilitate consistent global aggregation by authorities. </w:t>
      </w:r>
    </w:p>
    <w:p w14:paraId="5EA5FF59" w14:textId="064F28AB" w:rsidR="00185AC3" w:rsidRPr="0044190D" w:rsidRDefault="00185AC3" w:rsidP="0048715D">
      <w:pPr>
        <w:spacing w:after="360" w:line="276" w:lineRule="auto"/>
        <w:jc w:val="both"/>
      </w:pPr>
      <w:r w:rsidRPr="0044190D">
        <w:t xml:space="preserve">Although the UPI has been developed with this core purpose, it is recognised the UPI could also serve other purposes, such as other forms of regulatory reporting and market transparency specific to </w:t>
      </w:r>
      <w:proofErr w:type="gramStart"/>
      <w:r w:rsidRPr="0044190D">
        <w:t>particular jurisdictions</w:t>
      </w:r>
      <w:proofErr w:type="gramEnd"/>
      <w:r w:rsidRPr="0044190D">
        <w:t xml:space="preserve"> or pre- and post-trade processes, with primary use of the UPI contemplated for strengthening banks' risk aggregation capabilities and practices and for the reporting of OTC derivatives transactions to a TR or for regulatory use. It is anticipated that broader use cases for the UPI system – especially in relation to internal business functions – could increase its adoption and usefulness. </w:t>
      </w:r>
    </w:p>
    <w:p w14:paraId="2141D712" w14:textId="77777777" w:rsidR="00185AC3" w:rsidRDefault="00185AC3" w:rsidP="0048715D">
      <w:pPr>
        <w:pStyle w:val="Heading2"/>
        <w:spacing w:before="0" w:line="276" w:lineRule="auto"/>
      </w:pPr>
      <w:bookmarkStart w:id="50" w:name="_Toc57811961"/>
      <w:bookmarkStart w:id="51" w:name="_Toc57818969"/>
      <w:bookmarkStart w:id="52" w:name="_Toc57825954"/>
      <w:bookmarkStart w:id="53" w:name="_Toc57826060"/>
      <w:bookmarkStart w:id="54" w:name="_Toc57826108"/>
      <w:bookmarkStart w:id="55" w:name="_Toc57827587"/>
      <w:bookmarkStart w:id="56" w:name="_Toc57890588"/>
      <w:bookmarkStart w:id="57" w:name="_Toc57898035"/>
      <w:bookmarkStart w:id="58" w:name="_Toc57901396"/>
      <w:bookmarkStart w:id="59" w:name="_Toc57901739"/>
      <w:bookmarkStart w:id="60" w:name="_Toc57906247"/>
      <w:bookmarkStart w:id="61" w:name="_Toc60651762"/>
      <w:bookmarkStart w:id="62" w:name="_Toc61255918"/>
      <w:bookmarkEnd w:id="50"/>
      <w:bookmarkEnd w:id="51"/>
      <w:bookmarkEnd w:id="52"/>
      <w:bookmarkEnd w:id="53"/>
      <w:bookmarkEnd w:id="54"/>
      <w:bookmarkEnd w:id="55"/>
      <w:bookmarkEnd w:id="56"/>
      <w:bookmarkEnd w:id="57"/>
      <w:bookmarkEnd w:id="58"/>
      <w:bookmarkEnd w:id="59"/>
      <w:bookmarkEnd w:id="60"/>
      <w:r>
        <w:lastRenderedPageBreak/>
        <w:t>Governance Arrangements</w:t>
      </w:r>
      <w:bookmarkEnd w:id="61"/>
      <w:bookmarkEnd w:id="62"/>
      <w:r>
        <w:t xml:space="preserve">  </w:t>
      </w:r>
    </w:p>
    <w:p w14:paraId="75E489EE" w14:textId="77777777" w:rsidR="00185AC3" w:rsidRPr="004D493C" w:rsidRDefault="00185AC3" w:rsidP="0048715D">
      <w:pPr>
        <w:pStyle w:val="Heading3"/>
        <w:spacing w:before="0" w:line="276" w:lineRule="auto"/>
      </w:pPr>
      <w:bookmarkStart w:id="63" w:name="_Toc60651763"/>
      <w:bookmarkStart w:id="64" w:name="_Toc61255919"/>
      <w:r>
        <w:t>UPI Governance Components</w:t>
      </w:r>
      <w:bookmarkEnd w:id="63"/>
      <w:bookmarkEnd w:id="64"/>
    </w:p>
    <w:p w14:paraId="5B8C58BC" w14:textId="77777777" w:rsidR="00185AC3" w:rsidRPr="0048715D" w:rsidRDefault="00185AC3" w:rsidP="0048715D">
      <w:pPr>
        <w:spacing w:line="276" w:lineRule="auto"/>
        <w:jc w:val="both"/>
        <w:rPr>
          <w:rFonts w:cstheme="minorHAnsi"/>
        </w:rPr>
      </w:pPr>
      <w:r w:rsidRPr="0048715D">
        <w:rPr>
          <w:rFonts w:cstheme="minorHAnsi"/>
        </w:rPr>
        <w:t xml:space="preserve">The FSB, an international body that monitors and makes recommendations about the global financial system, has been responsible for defining the governance arrangements for the UPI. To that end, the FSB designated the DSB as the sole service provider for the future UPI system. The term ‘UPI system’ refers to the UPI code, the UPI reference data library, and the process of assigning a UPI to a set of reference data elements. Accordingly, the DSB will perform the functions of issuance of UPI and maintenance of their associated reference data consistent with the CPMI-IOSCO UPI technical guidance. This is a key step in completing the governance framework for the UPI. </w:t>
      </w:r>
    </w:p>
    <w:p w14:paraId="32350614" w14:textId="77777777" w:rsidR="00185AC3" w:rsidRPr="0048715D" w:rsidRDefault="00185AC3" w:rsidP="0048715D">
      <w:pPr>
        <w:spacing w:line="276" w:lineRule="auto"/>
        <w:jc w:val="both"/>
        <w:rPr>
          <w:rFonts w:cstheme="minorHAnsi"/>
        </w:rPr>
      </w:pPr>
      <w:r w:rsidRPr="0048715D">
        <w:rPr>
          <w:rFonts w:cstheme="minorHAnsi"/>
        </w:rPr>
        <w:t>In October 2019, the FSB published the Governance arrangements for the UPI</w:t>
      </w:r>
      <w:r w:rsidRPr="0048715D">
        <w:rPr>
          <w:rStyle w:val="FootnoteReference"/>
          <w:rFonts w:cstheme="minorHAnsi"/>
        </w:rPr>
        <w:footnoteReference w:id="13"/>
      </w:r>
      <w:r w:rsidRPr="0048715D">
        <w:rPr>
          <w:rFonts w:cstheme="minorHAnsi"/>
        </w:rPr>
        <w:t>, outlining its conclusions, implementation plan and next steps to establish the International Governance Body (IGB). In co</w:t>
      </w:r>
      <w:r w:rsidRPr="0048715D">
        <w:rPr>
          <w:rFonts w:cstheme="minorHAnsi"/>
        </w:rPr>
        <w:noBreakHyphen/>
        <w:t>ordination with CPMI and IOSCO, the FSB identified the Regulatory Oversight Committee</w:t>
      </w:r>
      <w:r w:rsidRPr="0048715D">
        <w:rPr>
          <w:rStyle w:val="FootnoteReference"/>
          <w:rFonts w:cstheme="minorHAnsi"/>
        </w:rPr>
        <w:footnoteReference w:id="14"/>
      </w:r>
      <w:r w:rsidRPr="0048715D">
        <w:rPr>
          <w:rFonts w:cstheme="minorHAnsi"/>
        </w:rPr>
        <w:t xml:space="preserve"> (ROC) of the Global Legal Entity Identifier System as best positioned to become the future IGB for the UPI, UTI and CDE in addition to its existing oversight of LEI, provided it made the necessary adjustments to its existing governance to be fit for purpose for these additional identifiers. In September 2020, the FSB announced the transfer of all governance and oversight responsibilities</w:t>
      </w:r>
      <w:r w:rsidRPr="0048715D">
        <w:rPr>
          <w:rStyle w:val="FootnoteReference"/>
          <w:rFonts w:cstheme="minorHAnsi"/>
        </w:rPr>
        <w:footnoteReference w:id="15"/>
      </w:r>
      <w:r w:rsidRPr="0048715D">
        <w:rPr>
          <w:rFonts w:cstheme="minorHAnsi"/>
        </w:rPr>
        <w:t xml:space="preserve"> in relation to the harmonised derivatives identifiers and data elements to the ROC as of October 1, 2020. On the same date, ROC announced and published its revised Charter</w:t>
      </w:r>
      <w:r w:rsidRPr="0048715D">
        <w:rPr>
          <w:rStyle w:val="FootnoteReference"/>
          <w:rFonts w:cstheme="minorHAnsi"/>
        </w:rPr>
        <w:footnoteReference w:id="16"/>
      </w:r>
      <w:r w:rsidRPr="0048715D">
        <w:rPr>
          <w:rFonts w:cstheme="minorHAnsi"/>
        </w:rPr>
        <w:t xml:space="preserve">. </w:t>
      </w:r>
    </w:p>
    <w:p w14:paraId="373708AE" w14:textId="79E6E057" w:rsidR="00185AC3" w:rsidRPr="0048715D" w:rsidRDefault="00185AC3" w:rsidP="0048715D">
      <w:pPr>
        <w:spacing w:line="276" w:lineRule="auto"/>
        <w:jc w:val="both"/>
        <w:rPr>
          <w:rFonts w:cstheme="minorHAnsi"/>
        </w:rPr>
      </w:pPr>
      <w:r w:rsidRPr="0048715D">
        <w:rPr>
          <w:rFonts w:cstheme="minorHAnsi"/>
        </w:rPr>
        <w:t xml:space="preserve">Furthermore, the FSB has determined that the UPI Code and the UPI Reference Data Elements should be set as international data standards and has identified ISO as the International Standardisation Body for the </w:t>
      </w:r>
      <w:r w:rsidR="00F06DE4">
        <w:rPr>
          <w:rFonts w:cstheme="minorHAnsi"/>
        </w:rPr>
        <w:t xml:space="preserve">development of the </w:t>
      </w:r>
      <w:r w:rsidRPr="0048715D">
        <w:rPr>
          <w:rFonts w:cstheme="minorHAnsi"/>
        </w:rPr>
        <w:t>UPI</w:t>
      </w:r>
      <w:r w:rsidR="00F06DE4">
        <w:rPr>
          <w:rFonts w:cstheme="minorHAnsi"/>
        </w:rPr>
        <w:t xml:space="preserve"> </w:t>
      </w:r>
      <w:r w:rsidRPr="0048715D">
        <w:rPr>
          <w:rFonts w:cstheme="minorHAnsi"/>
        </w:rPr>
        <w:t>s</w:t>
      </w:r>
      <w:r w:rsidR="00F06DE4">
        <w:rPr>
          <w:rFonts w:cstheme="minorHAnsi"/>
        </w:rPr>
        <w:t>tandard</w:t>
      </w:r>
      <w:r w:rsidRPr="0048715D">
        <w:rPr>
          <w:rFonts w:cstheme="minorHAnsi"/>
        </w:rPr>
        <w:t>.</w:t>
      </w:r>
      <w:r w:rsidRPr="0048715D">
        <w:rPr>
          <w:rStyle w:val="FootnoteReference"/>
          <w:rFonts w:cstheme="minorHAnsi"/>
        </w:rPr>
        <w:footnoteReference w:id="17"/>
      </w:r>
    </w:p>
    <w:p w14:paraId="5554C5C3" w14:textId="77777777" w:rsidR="00185AC3" w:rsidRPr="0048715D" w:rsidRDefault="00185AC3" w:rsidP="0048715D">
      <w:pPr>
        <w:spacing w:line="276" w:lineRule="auto"/>
        <w:jc w:val="both"/>
        <w:rPr>
          <w:rFonts w:cstheme="minorHAnsi"/>
        </w:rPr>
      </w:pPr>
      <w:r w:rsidRPr="0048715D">
        <w:rPr>
          <w:rFonts w:cstheme="minorHAnsi"/>
        </w:rPr>
        <w:t>In addition to oversight functions, the governance arrangements also include the need for ongoing coordination between the IGB, the UPI service provider and industry stakeholders. On this basis, the DSB Product Committee</w:t>
      </w:r>
      <w:r w:rsidRPr="0048715D">
        <w:rPr>
          <w:rStyle w:val="FootnoteReference"/>
          <w:rFonts w:cstheme="minorHAnsi"/>
        </w:rPr>
        <w:footnoteReference w:id="18"/>
      </w:r>
      <w:r w:rsidRPr="0048715D">
        <w:rPr>
          <w:rFonts w:cstheme="minorHAnsi"/>
        </w:rPr>
        <w:t xml:space="preserve"> and Technology Advisory Committee</w:t>
      </w:r>
      <w:r w:rsidRPr="0048715D">
        <w:rPr>
          <w:rStyle w:val="FootnoteReference"/>
          <w:rFonts w:cstheme="minorHAnsi"/>
        </w:rPr>
        <w:footnoteReference w:id="19"/>
      </w:r>
      <w:r w:rsidRPr="0048715D">
        <w:rPr>
          <w:rFonts w:cstheme="minorHAnsi"/>
        </w:rPr>
        <w:t xml:space="preserve"> will function as industry representation groups comprising reporting entities, derivatives infrastructure providers and market data providers.</w:t>
      </w:r>
    </w:p>
    <w:p w14:paraId="3033BFC7" w14:textId="77777777" w:rsidR="00185AC3" w:rsidRPr="0048715D" w:rsidRDefault="00185AC3" w:rsidP="0048715D">
      <w:pPr>
        <w:spacing w:line="276" w:lineRule="auto"/>
        <w:jc w:val="both"/>
        <w:rPr>
          <w:rFonts w:cstheme="minorHAnsi"/>
        </w:rPr>
      </w:pPr>
      <w:r w:rsidRPr="0048715D">
        <w:rPr>
          <w:rFonts w:cstheme="minorHAnsi"/>
        </w:rPr>
        <w:t>The UPI service and reference data library operated by the DSB is founded on interactions with five major parties, as set out in the diagram below. Taking each in turn, these comprise the:</w:t>
      </w:r>
    </w:p>
    <w:p w14:paraId="4C510B63" w14:textId="03D16AD8" w:rsidR="00185AC3" w:rsidRPr="0048715D" w:rsidRDefault="00185AC3" w:rsidP="0048715D">
      <w:pPr>
        <w:pStyle w:val="ListParagraph"/>
        <w:numPr>
          <w:ilvl w:val="0"/>
          <w:numId w:val="4"/>
        </w:numPr>
        <w:spacing w:after="120" w:line="276" w:lineRule="auto"/>
        <w:ind w:left="357" w:hanging="357"/>
        <w:contextualSpacing w:val="0"/>
        <w:jc w:val="both"/>
        <w:rPr>
          <w:rFonts w:cstheme="minorHAnsi"/>
        </w:rPr>
      </w:pPr>
      <w:r w:rsidRPr="0048715D">
        <w:rPr>
          <w:rFonts w:cstheme="minorHAnsi"/>
          <w:b/>
          <w:bCs/>
        </w:rPr>
        <w:t xml:space="preserve">IGB: </w:t>
      </w:r>
      <w:r w:rsidRPr="0048715D">
        <w:rPr>
          <w:rFonts w:cstheme="minorHAnsi"/>
        </w:rPr>
        <w:t xml:space="preserve">an international regulatory oversight body that should provide overall oversight and coordinate between the UPI Service Provider(s), the International Standardisation Body, and other elements of the UPI Governance Arrangements, as well as to coordinate among the various </w:t>
      </w:r>
      <w:r w:rsidRPr="0048715D">
        <w:rPr>
          <w:rFonts w:cstheme="minorHAnsi"/>
        </w:rPr>
        <w:lastRenderedPageBreak/>
        <w:t>stakeholders, and other international standard-setting bodies (including the CPMI, IOSCO and FSB).</w:t>
      </w:r>
      <w:r w:rsidRPr="0048715D">
        <w:rPr>
          <w:rStyle w:val="FootnoteReference"/>
          <w:rFonts w:cstheme="minorHAnsi"/>
        </w:rPr>
        <w:footnoteReference w:id="20"/>
      </w:r>
      <w:r w:rsidRPr="0048715D">
        <w:rPr>
          <w:rFonts w:cstheme="minorHAnsi"/>
        </w:rPr>
        <w:t xml:space="preserve"> </w:t>
      </w:r>
    </w:p>
    <w:p w14:paraId="5C2EA37D" w14:textId="13FC9658" w:rsidR="00185AC3" w:rsidRPr="0048715D" w:rsidRDefault="00185AC3" w:rsidP="0048715D">
      <w:pPr>
        <w:pStyle w:val="ListParagraph"/>
        <w:spacing w:after="120" w:line="276" w:lineRule="auto"/>
        <w:ind w:left="357"/>
        <w:jc w:val="both"/>
        <w:rPr>
          <w:rFonts w:cstheme="minorHAnsi"/>
        </w:rPr>
      </w:pPr>
      <w:r w:rsidRPr="0048715D">
        <w:rPr>
          <w:rFonts w:cstheme="minorHAnsi"/>
        </w:rPr>
        <w:t xml:space="preserve">The ROC is a group of 67 </w:t>
      </w:r>
      <w:r w:rsidRPr="0048715D">
        <w:rPr>
          <w:rFonts w:cstheme="minorHAnsi"/>
          <w:bCs/>
        </w:rPr>
        <w:t>public</w:t>
      </w:r>
      <w:r w:rsidRPr="0048715D">
        <w:rPr>
          <w:rFonts w:cstheme="minorHAnsi"/>
        </w:rPr>
        <w:t xml:space="preserve"> authorities with full membership and 18 observers from more than 50 countries.</w:t>
      </w:r>
      <w:r w:rsidRPr="0048715D">
        <w:rPr>
          <w:rStyle w:val="FootnoteReference"/>
          <w:rFonts w:cstheme="minorHAnsi"/>
        </w:rPr>
        <w:footnoteReference w:id="21"/>
      </w:r>
      <w:r w:rsidRPr="0048715D">
        <w:rPr>
          <w:rFonts w:cstheme="minorHAnsi"/>
        </w:rPr>
        <w:t xml:space="preserve"> The ROC was set up to oversee the Legal Entity Identifier (LEI) and recently announced an expanded mandate to become the IGB of the globally harmonised UTI, the UPI and the CDE. As IGB of the UTI, UPI and CDE, the ROC becomes the overseer of the designated UPI service provider, The Derivatives Service Bureau (DSB). </w:t>
      </w:r>
    </w:p>
    <w:p w14:paraId="0442DA0A" w14:textId="77777777" w:rsidR="00185AC3" w:rsidRPr="0048715D" w:rsidRDefault="00185AC3" w:rsidP="000518A5">
      <w:pPr>
        <w:pStyle w:val="ListParagraph"/>
        <w:spacing w:after="120" w:line="276" w:lineRule="auto"/>
        <w:ind w:left="357"/>
        <w:contextualSpacing w:val="0"/>
        <w:jc w:val="both"/>
        <w:rPr>
          <w:rFonts w:cstheme="minorHAnsi"/>
        </w:rPr>
      </w:pPr>
      <w:r w:rsidRPr="0048715D">
        <w:rPr>
          <w:rFonts w:cstheme="minorHAnsi"/>
          <w:bCs/>
        </w:rPr>
        <w:t xml:space="preserve">The Committee on </w:t>
      </w:r>
      <w:r w:rsidRPr="0048715D">
        <w:rPr>
          <w:rFonts w:cstheme="minorHAnsi"/>
        </w:rPr>
        <w:t>Derivative Identifiers</w:t>
      </w:r>
      <w:r w:rsidRPr="0048715D">
        <w:rPr>
          <w:rFonts w:cstheme="minorHAnsi"/>
          <w:bCs/>
        </w:rPr>
        <w:t xml:space="preserve"> and Data Elements (CDIDE) is a sub-committee of the ROC with the purpose of supporting </w:t>
      </w:r>
      <w:r w:rsidRPr="0048715D">
        <w:rPr>
          <w:rFonts w:cstheme="minorHAnsi"/>
        </w:rPr>
        <w:t xml:space="preserve">the ROC on the ROC’s oversight of the implementation of the UPI service and the UPI Reference Data Library by the DSB. CDIDE co-chairs may participate in each of the DSB Product Committee and DSB Technology Advisory Committee (see below) which committees are the Industry Representation Groups described below. </w:t>
      </w:r>
    </w:p>
    <w:p w14:paraId="13B36D21" w14:textId="5C207872" w:rsidR="00185AC3" w:rsidRPr="003F5F8A" w:rsidRDefault="00185AC3" w:rsidP="0048715D">
      <w:pPr>
        <w:pStyle w:val="ListParagraph"/>
        <w:numPr>
          <w:ilvl w:val="0"/>
          <w:numId w:val="4"/>
        </w:numPr>
        <w:spacing w:after="120" w:line="276" w:lineRule="auto"/>
        <w:ind w:left="357" w:hanging="357"/>
        <w:contextualSpacing w:val="0"/>
        <w:jc w:val="both"/>
        <w:rPr>
          <w:rFonts w:cstheme="minorHAnsi"/>
        </w:rPr>
      </w:pPr>
      <w:r w:rsidRPr="003F5F8A">
        <w:rPr>
          <w:rFonts w:cstheme="minorHAnsi"/>
          <w:b/>
          <w:bCs/>
        </w:rPr>
        <w:t xml:space="preserve">Authorities (as members of the ROC) and standard-setting bodies: </w:t>
      </w:r>
      <w:r w:rsidRPr="003F5F8A">
        <w:rPr>
          <w:rFonts w:cstheme="minorHAnsi"/>
        </w:rPr>
        <w:t xml:space="preserve">will continue to work on implementation, in coordination with the IGB. Authorities of each jurisdiction where the UPI will be reportable (as members of the ROC), and standard setting bodies such as the </w:t>
      </w:r>
      <w:r w:rsidRPr="003F5F8A">
        <w:rPr>
          <w:rStyle w:val="hgkelc"/>
          <w:rFonts w:cstheme="minorHAnsi"/>
        </w:rPr>
        <w:t>CPMI</w:t>
      </w:r>
      <w:r w:rsidRPr="003F5F8A" w:rsidDel="00451047">
        <w:rPr>
          <w:rStyle w:val="hgkelc"/>
          <w:rFonts w:cstheme="minorHAnsi"/>
        </w:rPr>
        <w:t xml:space="preserve"> and </w:t>
      </w:r>
      <w:r w:rsidRPr="003F5F8A">
        <w:rPr>
          <w:rStyle w:val="acopre"/>
          <w:rFonts w:cstheme="minorHAnsi"/>
        </w:rPr>
        <w:t xml:space="preserve">IOSCO also may </w:t>
      </w:r>
      <w:r w:rsidRPr="003F5F8A">
        <w:rPr>
          <w:rFonts w:cstheme="minorHAnsi"/>
        </w:rPr>
        <w:t xml:space="preserve">choose to participate in the Industry Representation Groups described below. </w:t>
      </w:r>
    </w:p>
    <w:p w14:paraId="656E4701" w14:textId="77777777" w:rsidR="00185AC3" w:rsidRPr="003F5F8A" w:rsidRDefault="00185AC3" w:rsidP="0048715D">
      <w:pPr>
        <w:pStyle w:val="ListParagraph"/>
        <w:numPr>
          <w:ilvl w:val="0"/>
          <w:numId w:val="4"/>
        </w:numPr>
        <w:spacing w:after="120" w:line="276" w:lineRule="auto"/>
        <w:ind w:left="357" w:hanging="357"/>
        <w:contextualSpacing w:val="0"/>
        <w:jc w:val="both"/>
        <w:rPr>
          <w:rFonts w:cstheme="minorHAnsi"/>
        </w:rPr>
      </w:pPr>
      <w:r w:rsidRPr="003F5F8A">
        <w:rPr>
          <w:rFonts w:cstheme="minorHAnsi"/>
          <w:b/>
          <w:bCs/>
        </w:rPr>
        <w:t xml:space="preserve">Industry Representation Group (IRG): </w:t>
      </w:r>
      <w:r w:rsidRPr="003F5F8A">
        <w:rPr>
          <w:rFonts w:cstheme="minorHAnsi"/>
        </w:rPr>
        <w:t xml:space="preserve">with representatives of, inter alia, reporting entities, derivatives infrastructure providers, and/or market data providers, to consult with other parts of the Governance Arrangements, including the IGB and the UPI Service Provider. The functions of an IRG are expected to be carried out by two existing DSB advisory committees, whose charters have been expanded to encompass the UPI initiative. </w:t>
      </w:r>
    </w:p>
    <w:p w14:paraId="52A6DE29" w14:textId="77777777" w:rsidR="00185AC3" w:rsidRPr="003F5F8A" w:rsidRDefault="00185AC3" w:rsidP="0048715D">
      <w:pPr>
        <w:pStyle w:val="ListParagraph"/>
        <w:spacing w:after="120" w:line="276" w:lineRule="auto"/>
        <w:ind w:left="357"/>
        <w:jc w:val="both"/>
        <w:rPr>
          <w:rFonts w:cstheme="minorHAnsi"/>
        </w:rPr>
      </w:pPr>
      <w:r w:rsidRPr="003F5F8A">
        <w:rPr>
          <w:rFonts w:cstheme="minorHAnsi"/>
        </w:rPr>
        <w:t xml:space="preserve">Within the </w:t>
      </w:r>
      <w:r w:rsidRPr="003F5F8A">
        <w:rPr>
          <w:rFonts w:cstheme="minorHAnsi"/>
          <w:bCs/>
        </w:rPr>
        <w:t>DSB</w:t>
      </w:r>
      <w:r w:rsidRPr="003F5F8A">
        <w:rPr>
          <w:rFonts w:cstheme="minorHAnsi"/>
        </w:rPr>
        <w:t>, the two existing advisory committees of the DSB Board of Directors are the Product Committee</w:t>
      </w:r>
      <w:r w:rsidRPr="003F5F8A">
        <w:rPr>
          <w:rStyle w:val="FootnoteReference"/>
          <w:rFonts w:cstheme="minorHAnsi"/>
        </w:rPr>
        <w:footnoteReference w:id="22"/>
      </w:r>
      <w:r w:rsidRPr="003F5F8A">
        <w:rPr>
          <w:rFonts w:cstheme="minorHAnsi"/>
        </w:rPr>
        <w:t xml:space="preserve"> (PC), and the Technology Advisory Committee</w:t>
      </w:r>
      <w:r w:rsidRPr="003F5F8A">
        <w:rPr>
          <w:rStyle w:val="FootnoteReference"/>
          <w:rFonts w:cstheme="minorHAnsi"/>
        </w:rPr>
        <w:footnoteReference w:id="23"/>
      </w:r>
      <w:r w:rsidRPr="003F5F8A">
        <w:rPr>
          <w:rFonts w:cstheme="minorHAnsi"/>
        </w:rPr>
        <w:t xml:space="preserve"> (TAC). Both committees comprise a broad range of representatives of entity types and geographical representation.</w:t>
      </w:r>
    </w:p>
    <w:p w14:paraId="66A59AD7" w14:textId="77777777" w:rsidR="00185AC3" w:rsidRPr="003F5F8A" w:rsidRDefault="00185AC3" w:rsidP="0048715D">
      <w:pPr>
        <w:pStyle w:val="ListParagraph"/>
        <w:spacing w:after="120" w:line="276" w:lineRule="auto"/>
        <w:ind w:left="357"/>
        <w:contextualSpacing w:val="0"/>
        <w:jc w:val="both"/>
        <w:rPr>
          <w:rFonts w:cstheme="minorHAnsi"/>
        </w:rPr>
      </w:pPr>
      <w:r w:rsidRPr="003F5F8A">
        <w:rPr>
          <w:rFonts w:cstheme="minorHAnsi"/>
        </w:rPr>
        <w:t>The DSB PC is an industry group that supports the DSB Board through</w:t>
      </w:r>
      <w:r w:rsidRPr="003F5F8A" w:rsidDel="00550F52">
        <w:rPr>
          <w:rFonts w:cstheme="minorHAnsi"/>
        </w:rPr>
        <w:t xml:space="preserve"> </w:t>
      </w:r>
      <w:r w:rsidRPr="003F5F8A">
        <w:rPr>
          <w:rFonts w:cstheme="minorHAnsi"/>
        </w:rPr>
        <w:t>continuing the work of the ISO study group tasked with defining the ISIN for OTC derivatives. The PC oversees the definitions of a broad range of OTC derivatives and how they translate into data requirements for allocation of these identifiers.  They also support the development and inclusion of descriptive taxonomies used to identify OTC derivatives.</w:t>
      </w:r>
    </w:p>
    <w:p w14:paraId="7A322309" w14:textId="77777777" w:rsidR="00185AC3" w:rsidRPr="003F5F8A" w:rsidRDefault="00185AC3" w:rsidP="0048715D">
      <w:pPr>
        <w:pStyle w:val="ListParagraph"/>
        <w:spacing w:after="120" w:line="276" w:lineRule="auto"/>
        <w:ind w:left="357"/>
        <w:contextualSpacing w:val="0"/>
        <w:jc w:val="both"/>
        <w:rPr>
          <w:rFonts w:cstheme="minorHAnsi"/>
        </w:rPr>
      </w:pPr>
      <w:r w:rsidRPr="003F5F8A">
        <w:rPr>
          <w:rFonts w:cstheme="minorHAnsi"/>
        </w:rPr>
        <w:t xml:space="preserve">The DSB TAC is an industry group that supports the DSB Board on technology issues to ensure that the DSB’s technology strategy is aligned with the needs of the markets it serves. The TAC oversees proposed technology changes related to the DSB’s services which includes any technical changes identified during the stakeholder consultation process as well as consideration of the workflows and integration needs of the UPI service provision.  </w:t>
      </w:r>
    </w:p>
    <w:p w14:paraId="707716EA" w14:textId="59EABB76" w:rsidR="00185AC3" w:rsidRDefault="00185AC3" w:rsidP="0048715D">
      <w:pPr>
        <w:pStyle w:val="ListParagraph"/>
        <w:numPr>
          <w:ilvl w:val="0"/>
          <w:numId w:val="4"/>
        </w:numPr>
        <w:spacing w:after="120" w:line="276" w:lineRule="auto"/>
        <w:ind w:left="357" w:hanging="357"/>
        <w:contextualSpacing w:val="0"/>
        <w:jc w:val="both"/>
        <w:rPr>
          <w:rFonts w:cstheme="minorHAnsi"/>
        </w:rPr>
      </w:pPr>
      <w:r w:rsidRPr="003F5F8A">
        <w:rPr>
          <w:rFonts w:cstheme="minorHAnsi"/>
          <w:b/>
          <w:bCs/>
        </w:rPr>
        <w:t xml:space="preserve">International Standardisation Body: </w:t>
      </w:r>
      <w:r w:rsidRPr="003F5F8A">
        <w:rPr>
          <w:rFonts w:cstheme="minorHAnsi"/>
        </w:rPr>
        <w:t xml:space="preserve"> The ISO has been nominated as the International Standardisation Body for the UPI. ISO’s work on development of the UPI standard began in June 2020 with the aim of publishing a final ISO standard in early 2022. The standard will include the </w:t>
      </w:r>
      <w:r w:rsidRPr="003F5F8A">
        <w:rPr>
          <w:rFonts w:cstheme="minorHAnsi"/>
        </w:rPr>
        <w:lastRenderedPageBreak/>
        <w:t xml:space="preserve">format and computation of the UPI code, as well as the minimum data elements driven by the UPI Technical Guidance. </w:t>
      </w:r>
    </w:p>
    <w:p w14:paraId="1D8D9525" w14:textId="1FB2CCA1" w:rsidR="00527EBD" w:rsidRPr="003F5F8A" w:rsidRDefault="00527EBD" w:rsidP="00D7790B">
      <w:pPr>
        <w:pStyle w:val="ListParagraph"/>
        <w:spacing w:after="120" w:line="276" w:lineRule="auto"/>
        <w:ind w:left="357"/>
        <w:contextualSpacing w:val="0"/>
        <w:jc w:val="both"/>
        <w:rPr>
          <w:rFonts w:cstheme="minorHAnsi"/>
        </w:rPr>
      </w:pPr>
      <w:r w:rsidRPr="009C1815">
        <w:t>ISO provides the framework allowing for a unique UPI Code to be assigned to each distinct OTC derivative product that is reportable to trade repositories.  The standard defines the UPI code structure and the minimum set of reference data elements that will describe the product. Reference data element values as well as possible reference data elements in addition to the ISO standard will be determined by the DSB Product Committee working in conjunction with the ISB.</w:t>
      </w:r>
    </w:p>
    <w:p w14:paraId="3D6B436C" w14:textId="2CF3F105" w:rsidR="00185AC3" w:rsidRPr="00641886" w:rsidRDefault="00C75C08" w:rsidP="00641886">
      <w:pPr>
        <w:numPr>
          <w:ilvl w:val="0"/>
          <w:numId w:val="4"/>
        </w:numPr>
        <w:spacing w:after="120" w:line="276" w:lineRule="auto"/>
        <w:ind w:left="426" w:hanging="426"/>
        <w:jc w:val="both"/>
        <w:rPr>
          <w:rFonts w:cstheme="minorHAnsi"/>
        </w:rPr>
      </w:pPr>
      <w:r w:rsidRPr="00641886">
        <w:rPr>
          <w:rFonts w:cstheme="minorHAnsi"/>
          <w:b/>
          <w:bCs/>
        </w:rPr>
        <w:t>UPI</w:t>
      </w:r>
      <w:r w:rsidR="00185AC3" w:rsidRPr="00641886">
        <w:rPr>
          <w:rFonts w:cstheme="minorHAnsi"/>
          <w:b/>
          <w:bCs/>
        </w:rPr>
        <w:t xml:space="preserve"> Users:</w:t>
      </w:r>
      <w:r w:rsidR="00185AC3" w:rsidRPr="00641886">
        <w:rPr>
          <w:rFonts w:cstheme="minorHAnsi"/>
        </w:rPr>
        <w:t xml:space="preserve"> </w:t>
      </w:r>
      <w:r w:rsidR="00E42981" w:rsidRPr="00641886">
        <w:rPr>
          <w:rFonts w:cstheme="minorHAnsi"/>
        </w:rPr>
        <w:t xml:space="preserve">UPI users comprise organizations that </w:t>
      </w:r>
      <w:r w:rsidR="008B5BFA">
        <w:rPr>
          <w:rFonts w:cstheme="minorHAnsi"/>
        </w:rPr>
        <w:t xml:space="preserve">will </w:t>
      </w:r>
      <w:r w:rsidR="00E42981" w:rsidRPr="00641886">
        <w:rPr>
          <w:rFonts w:cstheme="minorHAnsi"/>
        </w:rPr>
        <w:t xml:space="preserve">connect to the DSB to create, search for, or download </w:t>
      </w:r>
      <w:r w:rsidR="007B7640" w:rsidRPr="00641886">
        <w:rPr>
          <w:rFonts w:cstheme="minorHAnsi"/>
        </w:rPr>
        <w:t xml:space="preserve">files </w:t>
      </w:r>
      <w:r w:rsidR="005357D6" w:rsidRPr="00641886">
        <w:rPr>
          <w:rFonts w:cstheme="minorHAnsi"/>
        </w:rPr>
        <w:t xml:space="preserve">– on either a fee paying or </w:t>
      </w:r>
      <w:r w:rsidR="00641886" w:rsidRPr="00641886">
        <w:rPr>
          <w:rFonts w:cstheme="minorHAnsi"/>
        </w:rPr>
        <w:t>non-</w:t>
      </w:r>
      <w:r w:rsidR="00DB6FBB" w:rsidRPr="00641886">
        <w:rPr>
          <w:rFonts w:cstheme="minorHAnsi"/>
        </w:rPr>
        <w:t>fee-paying</w:t>
      </w:r>
      <w:r w:rsidR="005357D6" w:rsidRPr="00641886">
        <w:rPr>
          <w:rFonts w:cstheme="minorHAnsi"/>
        </w:rPr>
        <w:t xml:space="preserve"> basis. </w:t>
      </w:r>
      <w:r w:rsidR="00185AC3" w:rsidRPr="00641886">
        <w:rPr>
          <w:rFonts w:cstheme="minorHAnsi"/>
        </w:rPr>
        <w:t xml:space="preserve">Based on the DSB’s experience with the OTC ISIN </w:t>
      </w:r>
      <w:r w:rsidR="008B5BFA">
        <w:rPr>
          <w:rFonts w:cstheme="minorHAnsi"/>
        </w:rPr>
        <w:t xml:space="preserve">service, </w:t>
      </w:r>
      <w:r w:rsidR="00185AC3" w:rsidRPr="00641886">
        <w:rPr>
          <w:rFonts w:cstheme="minorHAnsi"/>
        </w:rPr>
        <w:t xml:space="preserve">in the </w:t>
      </w:r>
      <w:r w:rsidR="00DB6FBB" w:rsidRPr="00641886">
        <w:rPr>
          <w:rFonts w:cstheme="minorHAnsi"/>
        </w:rPr>
        <w:t>three-year</w:t>
      </w:r>
      <w:r w:rsidR="00185AC3" w:rsidRPr="00641886">
        <w:rPr>
          <w:rFonts w:cstheme="minorHAnsi"/>
        </w:rPr>
        <w:t xml:space="preserve"> period since the service was launched, the DSB expects to continue to see a marked difference between the number and types of firms that will create OTC derivatives reference data records in the DSB (be they for OTC ISIN, UPI, CFI or FISN purposes), and those that consume the data. </w:t>
      </w:r>
    </w:p>
    <w:p w14:paraId="4724E44B" w14:textId="4F0EB356" w:rsidR="00E8542B" w:rsidRDefault="00185AC3" w:rsidP="0087769A">
      <w:pPr>
        <w:pStyle w:val="ListParagraph"/>
        <w:spacing w:after="120" w:line="276" w:lineRule="auto"/>
        <w:ind w:left="357"/>
        <w:contextualSpacing w:val="0"/>
        <w:jc w:val="both"/>
        <w:rPr>
          <w:rFonts w:cstheme="minorHAnsi"/>
        </w:rPr>
      </w:pPr>
      <w:r w:rsidRPr="003F5F8A">
        <w:rPr>
          <w:rFonts w:cstheme="minorHAnsi"/>
        </w:rPr>
        <w:t xml:space="preserve">A review of current activity levels shows that an at aggregate level, the sell-side </w:t>
      </w:r>
      <w:r w:rsidR="00663021">
        <w:rPr>
          <w:rFonts w:cstheme="minorHAnsi"/>
        </w:rPr>
        <w:t xml:space="preserve">has </w:t>
      </w:r>
      <w:r w:rsidRPr="003F5F8A">
        <w:rPr>
          <w:rFonts w:cstheme="minorHAnsi"/>
        </w:rPr>
        <w:t>created 75% of all OTC derivative records in the DSB, with execution platforms, the larger buy-</w:t>
      </w:r>
      <w:proofErr w:type="gramStart"/>
      <w:r w:rsidRPr="003F5F8A">
        <w:rPr>
          <w:rFonts w:cstheme="minorHAnsi"/>
        </w:rPr>
        <w:t>side</w:t>
      </w:r>
      <w:proofErr w:type="gramEnd"/>
      <w:r w:rsidRPr="003F5F8A">
        <w:rPr>
          <w:rFonts w:cstheme="minorHAnsi"/>
        </w:rPr>
        <w:t xml:space="preserve"> and some data vendors responsible for creating the remainder. In total, 124 entities pay the DSB to create data and/or search for records</w:t>
      </w:r>
      <w:r w:rsidR="00E8542B">
        <w:rPr>
          <w:rFonts w:cstheme="minorHAnsi"/>
        </w:rPr>
        <w:t xml:space="preserve">, with </w:t>
      </w:r>
      <w:r>
        <w:rPr>
          <w:rFonts w:cstheme="minorHAnsi"/>
        </w:rPr>
        <w:t xml:space="preserve">60% </w:t>
      </w:r>
      <w:r w:rsidR="00E8542B">
        <w:rPr>
          <w:rFonts w:cstheme="minorHAnsi"/>
        </w:rPr>
        <w:t>of this group accessing the DSB in</w:t>
      </w:r>
      <w:r w:rsidRPr="003F5F8A">
        <w:rPr>
          <w:rFonts w:cstheme="minorHAnsi"/>
        </w:rPr>
        <w:t xml:space="preserve"> a programmatic </w:t>
      </w:r>
      <w:r w:rsidR="00E8542B">
        <w:rPr>
          <w:rFonts w:cstheme="minorHAnsi"/>
        </w:rPr>
        <w:t xml:space="preserve">manner. </w:t>
      </w:r>
    </w:p>
    <w:p w14:paraId="2C07DCB9" w14:textId="63479C66" w:rsidR="00044B5B" w:rsidRDefault="007C0294" w:rsidP="0087769A">
      <w:pPr>
        <w:pStyle w:val="ListParagraph"/>
        <w:spacing w:after="120" w:line="276" w:lineRule="auto"/>
        <w:ind w:left="357"/>
        <w:contextualSpacing w:val="0"/>
        <w:jc w:val="both"/>
        <w:rPr>
          <w:rFonts w:cstheme="minorHAnsi"/>
        </w:rPr>
      </w:pPr>
      <w:r>
        <w:rPr>
          <w:rFonts w:cstheme="minorHAnsi"/>
        </w:rPr>
        <w:t>When looking at the full list of organizations that access the DSB</w:t>
      </w:r>
      <w:r w:rsidR="00BB31DC">
        <w:rPr>
          <w:rFonts w:cstheme="minorHAnsi"/>
        </w:rPr>
        <w:t xml:space="preserve"> today</w:t>
      </w:r>
      <w:r w:rsidR="00BB31DC" w:rsidDel="008B169F">
        <w:rPr>
          <w:rFonts w:cstheme="minorHAnsi"/>
        </w:rPr>
        <w:t xml:space="preserve"> </w:t>
      </w:r>
      <w:r w:rsidR="00B10A9D">
        <w:rPr>
          <w:rFonts w:cstheme="minorHAnsi"/>
        </w:rPr>
        <w:t xml:space="preserve">across </w:t>
      </w:r>
      <w:r w:rsidR="00300570">
        <w:rPr>
          <w:rFonts w:cstheme="minorHAnsi"/>
        </w:rPr>
        <w:t xml:space="preserve">both fee paying and free of cost </w:t>
      </w:r>
      <w:r w:rsidR="00300570" w:rsidRPr="008E5A2E">
        <w:rPr>
          <w:rFonts w:cstheme="minorHAnsi"/>
        </w:rPr>
        <w:t>users</w:t>
      </w:r>
      <w:r w:rsidR="00094F45" w:rsidRPr="008E5A2E">
        <w:rPr>
          <w:rFonts w:cstheme="minorHAnsi"/>
        </w:rPr>
        <w:t xml:space="preserve">, </w:t>
      </w:r>
      <w:r w:rsidR="00EB302D" w:rsidRPr="008E5A2E">
        <w:rPr>
          <w:rFonts w:cstheme="minorHAnsi"/>
        </w:rPr>
        <w:t>470</w:t>
      </w:r>
      <w:r w:rsidR="00EB1D8C" w:rsidRPr="008E5A2E">
        <w:rPr>
          <w:rFonts w:cstheme="minorHAnsi"/>
        </w:rPr>
        <w:t xml:space="preserve"> organisations</w:t>
      </w:r>
      <w:r w:rsidRPr="008E5A2E">
        <w:rPr>
          <w:rFonts w:cstheme="minorHAnsi"/>
        </w:rPr>
        <w:t xml:space="preserve">, </w:t>
      </w:r>
      <w:r w:rsidR="00BB31DC" w:rsidRPr="008E5A2E">
        <w:rPr>
          <w:rFonts w:cstheme="minorHAnsi"/>
        </w:rPr>
        <w:t>almost</w:t>
      </w:r>
      <w:r w:rsidR="00BB31DC">
        <w:rPr>
          <w:rFonts w:cstheme="minorHAnsi"/>
        </w:rPr>
        <w:t xml:space="preserve"> 70% do so free of cost </w:t>
      </w:r>
      <w:r w:rsidR="00DB6FBB">
        <w:rPr>
          <w:rFonts w:cstheme="minorHAnsi"/>
        </w:rPr>
        <w:t>to</w:t>
      </w:r>
      <w:r w:rsidR="00BB31DC">
        <w:rPr>
          <w:rFonts w:cstheme="minorHAnsi"/>
        </w:rPr>
        <w:t xml:space="preserve"> download free to use data files</w:t>
      </w:r>
      <w:r w:rsidR="00A73576">
        <w:rPr>
          <w:rFonts w:cstheme="minorHAnsi"/>
        </w:rPr>
        <w:t xml:space="preserve">. A further </w:t>
      </w:r>
      <w:r w:rsidR="00044B5B">
        <w:rPr>
          <w:rFonts w:cstheme="minorHAnsi"/>
        </w:rPr>
        <w:t xml:space="preserve">25% access the DSB </w:t>
      </w:r>
      <w:r w:rsidR="00DB6FBB">
        <w:rPr>
          <w:rFonts w:cstheme="minorHAnsi"/>
        </w:rPr>
        <w:t>to</w:t>
      </w:r>
      <w:r w:rsidR="00044B5B">
        <w:rPr>
          <w:rFonts w:cstheme="minorHAnsi"/>
        </w:rPr>
        <w:t xml:space="preserve"> create records, search for records, </w:t>
      </w:r>
      <w:r w:rsidR="00AF7712">
        <w:rPr>
          <w:rFonts w:cstheme="minorHAnsi"/>
        </w:rPr>
        <w:t>and</w:t>
      </w:r>
      <w:r w:rsidR="00044B5B">
        <w:rPr>
          <w:rFonts w:cstheme="minorHAnsi"/>
        </w:rPr>
        <w:t xml:space="preserve"> download data files, with 3% exclusively creating data</w:t>
      </w:r>
      <w:r w:rsidR="00AF7712">
        <w:rPr>
          <w:rFonts w:cstheme="minorHAnsi"/>
        </w:rPr>
        <w:t>,</w:t>
      </w:r>
      <w:r w:rsidR="00044B5B">
        <w:rPr>
          <w:rFonts w:cstheme="minorHAnsi"/>
        </w:rPr>
        <w:t xml:space="preserve"> and a further 3% exclusively searching for data. </w:t>
      </w:r>
    </w:p>
    <w:p w14:paraId="3334B28D" w14:textId="468914D0" w:rsidR="00185AC3" w:rsidRPr="003F5F8A" w:rsidRDefault="00185AC3" w:rsidP="00860539">
      <w:pPr>
        <w:pStyle w:val="ListParagraph"/>
        <w:spacing w:after="120" w:line="276" w:lineRule="auto"/>
        <w:ind w:left="357"/>
        <w:contextualSpacing w:val="0"/>
        <w:jc w:val="both"/>
        <w:rPr>
          <w:shd w:val="clear" w:color="auto" w:fill="FFFFFF"/>
        </w:rPr>
      </w:pPr>
      <w:r w:rsidRPr="003F5F8A">
        <w:rPr>
          <w:rFonts w:cstheme="minorHAnsi"/>
          <w:shd w:val="clear" w:color="auto" w:fill="FFFFFF"/>
        </w:rPr>
        <w:t xml:space="preserve">In addition, the data of DSB </w:t>
      </w:r>
      <w:r w:rsidR="0020799C">
        <w:rPr>
          <w:rFonts w:cstheme="minorHAnsi"/>
          <w:shd w:val="clear" w:color="auto" w:fill="FFFFFF"/>
        </w:rPr>
        <w:t xml:space="preserve">existing </w:t>
      </w:r>
      <w:r w:rsidRPr="003F5F8A">
        <w:rPr>
          <w:rFonts w:cstheme="minorHAnsi"/>
          <w:shd w:val="clear" w:color="auto" w:fill="FFFFFF"/>
        </w:rPr>
        <w:t xml:space="preserve">users to date shows that in contrast to the creation of data which is driven by the sell-side and execution platforms, consumers of the OTC derivative reference data generated at the DSB represent a substantively broader composition as set out in the following </w:t>
      </w:r>
      <w:r w:rsidR="006A0030">
        <w:rPr>
          <w:rFonts w:cstheme="minorHAnsi"/>
          <w:shd w:val="clear" w:color="auto" w:fill="FFFFFF"/>
        </w:rPr>
        <w:t xml:space="preserve">diagram. It is a reasonable expectation that while the specific numbers of each type of organisation that accesses the DSB for UPI data will vary from current practice, the overall composition of each organisation type is likely to continue given the divergent reasons that users cite in discussions with the DSB. </w:t>
      </w:r>
    </w:p>
    <w:p w14:paraId="6F517D1C" w14:textId="77777777" w:rsidR="008E5A2E" w:rsidRDefault="008E5A2E" w:rsidP="00641886">
      <w:pPr>
        <w:pStyle w:val="ListParagraph"/>
        <w:spacing w:after="120" w:line="276" w:lineRule="auto"/>
        <w:ind w:left="357"/>
        <w:jc w:val="both"/>
        <w:rPr>
          <w:rFonts w:cstheme="minorHAnsi"/>
        </w:rPr>
      </w:pPr>
      <w:r>
        <w:rPr>
          <w:noProof/>
        </w:rPr>
        <w:lastRenderedPageBreak/>
        <w:drawing>
          <wp:inline distT="0" distB="0" distL="0" distR="0" wp14:anchorId="16470547" wp14:editId="3A32C57C">
            <wp:extent cx="5302800" cy="365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2800" cy="3657600"/>
                    </a:xfrm>
                    <a:prstGeom prst="rect">
                      <a:avLst/>
                    </a:prstGeom>
                  </pic:spPr>
                </pic:pic>
              </a:graphicData>
            </a:graphic>
          </wp:inline>
        </w:drawing>
      </w:r>
    </w:p>
    <w:p w14:paraId="07B29BA0" w14:textId="505B2B96" w:rsidR="00185AC3" w:rsidRPr="00D9326A" w:rsidRDefault="00185AC3" w:rsidP="00D9326A">
      <w:pPr>
        <w:spacing w:after="120" w:line="276" w:lineRule="auto"/>
        <w:jc w:val="both"/>
        <w:rPr>
          <w:rFonts w:cstheme="minorHAnsi"/>
          <w:sz w:val="4"/>
          <w:szCs w:val="4"/>
        </w:rPr>
      </w:pPr>
    </w:p>
    <w:p w14:paraId="6A08F8C7" w14:textId="77777777" w:rsidR="00185AC3" w:rsidRPr="003F5F8A" w:rsidRDefault="00185AC3" w:rsidP="00641886">
      <w:pPr>
        <w:pStyle w:val="ListParagraph"/>
        <w:numPr>
          <w:ilvl w:val="0"/>
          <w:numId w:val="4"/>
        </w:numPr>
        <w:spacing w:after="120" w:line="276" w:lineRule="auto"/>
        <w:ind w:left="357" w:hanging="357"/>
        <w:contextualSpacing w:val="0"/>
        <w:jc w:val="both"/>
        <w:rPr>
          <w:rFonts w:cstheme="minorHAnsi"/>
        </w:rPr>
      </w:pPr>
      <w:r w:rsidRPr="003F5F8A">
        <w:rPr>
          <w:rFonts w:cstheme="minorHAnsi"/>
          <w:b/>
          <w:bCs/>
        </w:rPr>
        <w:t xml:space="preserve">UPI Service Provider(s): </w:t>
      </w:r>
      <w:r w:rsidRPr="003F5F8A">
        <w:rPr>
          <w:rFonts w:cstheme="minorHAnsi"/>
        </w:rPr>
        <w:t xml:space="preserve">This entity or these entities should provide for timely issuance of UPI Codes and maintenance of their associated reference data consistent with the UPI Technical Guidance. </w:t>
      </w:r>
    </w:p>
    <w:p w14:paraId="7B085DA3" w14:textId="30C87F24" w:rsidR="001331F8" w:rsidRPr="001C7D65" w:rsidRDefault="00185AC3" w:rsidP="00D7790B">
      <w:pPr>
        <w:pStyle w:val="ListParagraph"/>
        <w:numPr>
          <w:ilvl w:val="0"/>
          <w:numId w:val="4"/>
        </w:numPr>
        <w:spacing w:after="120" w:line="276" w:lineRule="auto"/>
        <w:ind w:left="357" w:hanging="357"/>
        <w:contextualSpacing w:val="0"/>
        <w:jc w:val="both"/>
        <w:rPr>
          <w:rFonts w:cstheme="minorHAnsi"/>
        </w:rPr>
      </w:pPr>
      <w:r w:rsidRPr="2A1C6E33">
        <w:rPr>
          <w:b/>
        </w:rPr>
        <w:t>Operator of the UPI Reference Data Library (RDL):</w:t>
      </w:r>
      <w:r w:rsidRPr="2A1C6E33">
        <w:t xml:space="preserve"> an entity that should record all existing UPI Codes and their associated UPI Reference Data. Most respondents to the FSB’s UPI governance consultations did not favour a split between the UPI Service Provider and the Operator of the UPI RDL. On this basis, the DSB is</w:t>
      </w:r>
      <w:r w:rsidRPr="2A1C6E33" w:rsidDel="0028694B">
        <w:t xml:space="preserve"> </w:t>
      </w:r>
      <w:r w:rsidRPr="2A1C6E33">
        <w:t xml:space="preserve">both the UPI Service Provider and the UPI Reference Data Library operator. </w:t>
      </w:r>
    </w:p>
    <w:p w14:paraId="27D14E29" w14:textId="79FA7F81" w:rsidR="001331F8" w:rsidRPr="003F5F8A" w:rsidRDefault="009647D9" w:rsidP="00D7790B">
      <w:pPr>
        <w:pStyle w:val="ListParagraph"/>
        <w:spacing w:after="120" w:line="276" w:lineRule="auto"/>
        <w:ind w:left="357"/>
        <w:contextualSpacing w:val="0"/>
        <w:jc w:val="both"/>
        <w:rPr>
          <w:rFonts w:cstheme="minorHAnsi"/>
        </w:rPr>
      </w:pPr>
      <w:r>
        <w:rPr>
          <w:noProof/>
        </w:rPr>
        <w:drawing>
          <wp:inline distT="0" distB="0" distL="0" distR="0" wp14:anchorId="1E16EEF7" wp14:editId="4FA4A27D">
            <wp:extent cx="5731510" cy="3223895"/>
            <wp:effectExtent l="0" t="0" r="2540" b="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5731510" cy="3223895"/>
                    </a:xfrm>
                    <a:prstGeom prst="rect">
                      <a:avLst/>
                    </a:prstGeom>
                  </pic:spPr>
                </pic:pic>
              </a:graphicData>
            </a:graphic>
          </wp:inline>
        </w:drawing>
      </w:r>
    </w:p>
    <w:p w14:paraId="5C086720" w14:textId="77777777" w:rsidR="00185AC3" w:rsidRDefault="00185AC3" w:rsidP="00641886">
      <w:pPr>
        <w:pStyle w:val="Heading3"/>
        <w:spacing w:before="0" w:line="276" w:lineRule="auto"/>
      </w:pPr>
      <w:bookmarkStart w:id="65" w:name="_Ref58234110"/>
      <w:bookmarkStart w:id="66" w:name="_Ref58234123"/>
      <w:bookmarkStart w:id="67" w:name="_Toc60651764"/>
      <w:bookmarkStart w:id="68" w:name="_Toc61255920"/>
      <w:r>
        <w:lastRenderedPageBreak/>
        <w:t>UPI Governance Criteria</w:t>
      </w:r>
      <w:bookmarkEnd w:id="65"/>
      <w:bookmarkEnd w:id="66"/>
      <w:bookmarkEnd w:id="67"/>
      <w:bookmarkEnd w:id="68"/>
    </w:p>
    <w:p w14:paraId="49692BD0" w14:textId="77777777" w:rsidR="00185AC3" w:rsidRPr="009F5C43" w:rsidRDefault="00185AC3" w:rsidP="0087769A">
      <w:pPr>
        <w:spacing w:line="276" w:lineRule="auto"/>
        <w:rPr>
          <w:rFonts w:cstheme="minorHAnsi"/>
        </w:rPr>
      </w:pPr>
      <w:r w:rsidRPr="003F5F8A">
        <w:rPr>
          <w:rFonts w:cstheme="minorHAnsi"/>
        </w:rPr>
        <w:t>In relation to the governance arrangements, key criteria have been specified by the FSB to guide the choices made. These governance criteria, detailed throughout the FSB governance arrangements consultation process and outlined in the FSB Governance arrangements for the UPI</w:t>
      </w:r>
      <w:r w:rsidRPr="003F5F8A">
        <w:rPr>
          <w:rStyle w:val="FootnoteReference"/>
          <w:rFonts w:cstheme="minorHAnsi"/>
        </w:rPr>
        <w:footnoteReference w:id="24"/>
      </w:r>
      <w:r w:rsidRPr="003F5F8A">
        <w:rPr>
          <w:rFonts w:cstheme="minorHAnsi"/>
        </w:rPr>
        <w:t xml:space="preserve">, are provided below. </w:t>
      </w:r>
    </w:p>
    <w:p w14:paraId="62C2A7B2" w14:textId="77777777" w:rsidR="00185AC3" w:rsidRPr="009A53EF" w:rsidRDefault="00185AC3" w:rsidP="0087769A">
      <w:pPr>
        <w:spacing w:line="276" w:lineRule="auto"/>
        <w:rPr>
          <w:rFonts w:cstheme="minorHAnsi"/>
        </w:rPr>
      </w:pPr>
      <w:r w:rsidRPr="003034AA">
        <w:rPr>
          <w:rFonts w:cstheme="minorHAnsi"/>
        </w:rPr>
        <w:t>The governance criteria have been referenced within this paper where related to the UPI fee model principles.</w:t>
      </w:r>
    </w:p>
    <w:p w14:paraId="60A84F66" w14:textId="77777777" w:rsidR="00185AC3" w:rsidRPr="003F5F8A" w:rsidRDefault="00185AC3" w:rsidP="0048715D">
      <w:pPr>
        <w:pStyle w:val="ListParagraph"/>
        <w:numPr>
          <w:ilvl w:val="0"/>
          <w:numId w:val="13"/>
        </w:numPr>
        <w:spacing w:after="0" w:line="276" w:lineRule="auto"/>
        <w:ind w:left="357" w:hanging="357"/>
        <w:contextualSpacing w:val="0"/>
        <w:rPr>
          <w:rFonts w:cstheme="minorHAnsi"/>
          <w:b/>
          <w:bCs/>
        </w:rPr>
      </w:pPr>
      <w:r w:rsidRPr="003F5F8A">
        <w:rPr>
          <w:rFonts w:cstheme="minorHAnsi"/>
          <w:b/>
          <w:bCs/>
        </w:rPr>
        <w:t>Public interest</w:t>
      </w:r>
    </w:p>
    <w:p w14:paraId="33FADFEF" w14:textId="77777777" w:rsidR="00185AC3" w:rsidRPr="003F5F8A" w:rsidRDefault="00185AC3" w:rsidP="0087769A">
      <w:pPr>
        <w:spacing w:line="276" w:lineRule="auto"/>
        <w:rPr>
          <w:rFonts w:cstheme="minorHAnsi"/>
        </w:rPr>
      </w:pPr>
      <w:r w:rsidRPr="003F5F8A">
        <w:rPr>
          <w:rFonts w:cstheme="minorHAnsi"/>
        </w:rPr>
        <w:t>Governance should be driven by the public and regulatory interest.</w:t>
      </w:r>
    </w:p>
    <w:p w14:paraId="3A6DB289" w14:textId="77777777" w:rsidR="00185AC3" w:rsidRPr="003F5F8A" w:rsidRDefault="00185AC3" w:rsidP="0048715D">
      <w:pPr>
        <w:pStyle w:val="ListParagraph"/>
        <w:numPr>
          <w:ilvl w:val="0"/>
          <w:numId w:val="13"/>
        </w:numPr>
        <w:spacing w:after="0" w:line="276" w:lineRule="auto"/>
        <w:ind w:left="357" w:hanging="357"/>
        <w:contextualSpacing w:val="0"/>
        <w:rPr>
          <w:rFonts w:cstheme="minorHAnsi"/>
          <w:b/>
          <w:bCs/>
        </w:rPr>
      </w:pPr>
      <w:r w:rsidRPr="003F5F8A">
        <w:rPr>
          <w:rFonts w:cstheme="minorHAnsi"/>
          <w:b/>
        </w:rPr>
        <w:t>Lean</w:t>
      </w:r>
    </w:p>
    <w:p w14:paraId="1D66FC07" w14:textId="77777777" w:rsidR="00185AC3" w:rsidRPr="003F5F8A" w:rsidRDefault="00185AC3" w:rsidP="0087769A">
      <w:pPr>
        <w:spacing w:line="276" w:lineRule="auto"/>
        <w:rPr>
          <w:rFonts w:cstheme="minorHAnsi"/>
        </w:rPr>
      </w:pPr>
      <w:r w:rsidRPr="003F5F8A">
        <w:rPr>
          <w:rFonts w:cstheme="minorHAnsi"/>
        </w:rPr>
        <w:t>The UPI Governance Arrangements should not be unnecessarily complex or costly.</w:t>
      </w:r>
    </w:p>
    <w:p w14:paraId="12DF4C3F" w14:textId="77777777" w:rsidR="00185AC3" w:rsidRPr="003F5F8A" w:rsidRDefault="00185AC3" w:rsidP="0048715D">
      <w:pPr>
        <w:pStyle w:val="ListParagraph"/>
        <w:numPr>
          <w:ilvl w:val="0"/>
          <w:numId w:val="13"/>
        </w:numPr>
        <w:spacing w:after="0" w:line="276" w:lineRule="auto"/>
        <w:ind w:left="357" w:hanging="357"/>
        <w:contextualSpacing w:val="0"/>
        <w:rPr>
          <w:rFonts w:cstheme="minorHAnsi"/>
          <w:b/>
          <w:bCs/>
        </w:rPr>
      </w:pPr>
      <w:r w:rsidRPr="003F5F8A">
        <w:rPr>
          <w:rFonts w:cstheme="minorHAnsi"/>
          <w:b/>
          <w:bCs/>
        </w:rPr>
        <w:t>Change only as needed</w:t>
      </w:r>
    </w:p>
    <w:p w14:paraId="1B7CCD1A" w14:textId="77777777" w:rsidR="00185AC3" w:rsidRPr="009A53EF" w:rsidRDefault="00185AC3" w:rsidP="0087769A">
      <w:pPr>
        <w:spacing w:line="276" w:lineRule="auto"/>
        <w:rPr>
          <w:rFonts w:cstheme="minorHAnsi"/>
        </w:rPr>
      </w:pPr>
      <w:r w:rsidRPr="003F5F8A">
        <w:rPr>
          <w:rFonts w:cstheme="minorHAnsi"/>
        </w:rPr>
        <w:t>Revisions to the UPI Governance Arrangements, the UPI Technical Guidance and UPI System should be managed on a need-only basis and consider benefits a</w:t>
      </w:r>
      <w:r w:rsidRPr="009F5C43">
        <w:rPr>
          <w:rFonts w:cstheme="minorHAnsi"/>
        </w:rPr>
        <w:t>nd costs of such rev</w:t>
      </w:r>
      <w:r w:rsidRPr="003034AA">
        <w:rPr>
          <w:rFonts w:cstheme="minorHAnsi"/>
        </w:rPr>
        <w:t>isions to minimise impacts on various stakeholders.</w:t>
      </w:r>
    </w:p>
    <w:p w14:paraId="1DD52B79" w14:textId="77777777" w:rsidR="00185AC3" w:rsidRPr="003F5F8A" w:rsidRDefault="00185AC3" w:rsidP="0048715D">
      <w:pPr>
        <w:pStyle w:val="ListParagraph"/>
        <w:numPr>
          <w:ilvl w:val="0"/>
          <w:numId w:val="13"/>
        </w:numPr>
        <w:spacing w:after="0" w:line="276" w:lineRule="auto"/>
        <w:ind w:left="357" w:hanging="357"/>
        <w:contextualSpacing w:val="0"/>
        <w:rPr>
          <w:rFonts w:cstheme="minorHAnsi"/>
          <w:b/>
          <w:bCs/>
        </w:rPr>
      </w:pPr>
      <w:r w:rsidRPr="003F5F8A">
        <w:rPr>
          <w:rFonts w:cstheme="minorHAnsi"/>
          <w:b/>
        </w:rPr>
        <w:t>Consultative change process</w:t>
      </w:r>
    </w:p>
    <w:p w14:paraId="15F1904F" w14:textId="6D2B4458" w:rsidR="00185AC3" w:rsidRPr="006B3EDC" w:rsidRDefault="00185AC3" w:rsidP="0087769A">
      <w:pPr>
        <w:spacing w:line="276" w:lineRule="auto"/>
        <w:rPr>
          <w:rFonts w:cstheme="minorHAnsi"/>
        </w:rPr>
      </w:pPr>
      <w:r w:rsidRPr="003F5F8A">
        <w:rPr>
          <w:rFonts w:cstheme="minorHAnsi"/>
        </w:rPr>
        <w:t xml:space="preserve">Changes to the UPI Governance Arrangements, UPI Technical Guidance, and UPI System (except for the </w:t>
      </w:r>
      <w:r w:rsidR="00E8343F" w:rsidRPr="003F5F8A">
        <w:rPr>
          <w:rFonts w:cstheme="minorHAnsi"/>
        </w:rPr>
        <w:t>day-to-day</w:t>
      </w:r>
      <w:r w:rsidRPr="003F5F8A">
        <w:rPr>
          <w:rFonts w:cstheme="minorHAnsi"/>
        </w:rPr>
        <w:t xml:space="preserve"> process of updating the data held in the UPI R</w:t>
      </w:r>
      <w:r w:rsidRPr="009F5C43">
        <w:rPr>
          <w:rFonts w:cstheme="minorHAnsi"/>
        </w:rPr>
        <w:t>eference Data Librar</w:t>
      </w:r>
      <w:r w:rsidRPr="003034AA">
        <w:rPr>
          <w:rFonts w:cstheme="minorHAnsi"/>
        </w:rPr>
        <w:t xml:space="preserve">y) should allow for direct or indirect involvement of stakeholders and should be made </w:t>
      </w:r>
      <w:r w:rsidRPr="009A53EF">
        <w:rPr>
          <w:rFonts w:cstheme="minorHAnsi"/>
        </w:rPr>
        <w:t>after public consultation where appropriate.</w:t>
      </w:r>
    </w:p>
    <w:p w14:paraId="6F39E7E2" w14:textId="77777777" w:rsidR="00185AC3" w:rsidRPr="003F5F8A" w:rsidRDefault="00185AC3" w:rsidP="0048715D">
      <w:pPr>
        <w:pStyle w:val="ListParagraph"/>
        <w:numPr>
          <w:ilvl w:val="0"/>
          <w:numId w:val="13"/>
        </w:numPr>
        <w:spacing w:after="0" w:line="276" w:lineRule="auto"/>
        <w:ind w:left="357" w:hanging="357"/>
        <w:contextualSpacing w:val="0"/>
        <w:rPr>
          <w:rFonts w:cstheme="minorHAnsi"/>
          <w:b/>
          <w:bCs/>
        </w:rPr>
      </w:pPr>
      <w:r w:rsidRPr="003F5F8A">
        <w:rPr>
          <w:rFonts w:cstheme="minorHAnsi"/>
          <w:b/>
        </w:rPr>
        <w:t>Economic sustainability</w:t>
      </w:r>
    </w:p>
    <w:p w14:paraId="1B81CA5B" w14:textId="77777777" w:rsidR="00185AC3" w:rsidRPr="003F5F8A" w:rsidRDefault="00185AC3" w:rsidP="0087769A">
      <w:pPr>
        <w:spacing w:line="276" w:lineRule="auto"/>
        <w:rPr>
          <w:rFonts w:cstheme="minorHAnsi"/>
        </w:rPr>
      </w:pPr>
      <w:r w:rsidRPr="003F5F8A">
        <w:rPr>
          <w:rFonts w:cstheme="minorHAnsi"/>
        </w:rPr>
        <w:t>The UPI Governance Arrangements should be consistent with the need to help ensure the economic sustainability of the UPI System over time.</w:t>
      </w:r>
    </w:p>
    <w:p w14:paraId="5D3CC545" w14:textId="77777777" w:rsidR="00185AC3" w:rsidRPr="003F5F8A" w:rsidRDefault="00185AC3" w:rsidP="0048715D">
      <w:pPr>
        <w:pStyle w:val="ListParagraph"/>
        <w:numPr>
          <w:ilvl w:val="0"/>
          <w:numId w:val="13"/>
        </w:numPr>
        <w:spacing w:after="0" w:line="276" w:lineRule="auto"/>
        <w:rPr>
          <w:rFonts w:cstheme="minorHAnsi"/>
          <w:b/>
          <w:bCs/>
        </w:rPr>
      </w:pPr>
      <w:r w:rsidRPr="003F5F8A">
        <w:rPr>
          <w:rFonts w:cstheme="minorHAnsi"/>
          <w:b/>
        </w:rPr>
        <w:t>Open access</w:t>
      </w:r>
    </w:p>
    <w:p w14:paraId="7F68DB74" w14:textId="77777777" w:rsidR="00185AC3" w:rsidRPr="006B3EDC" w:rsidRDefault="00185AC3" w:rsidP="0087769A">
      <w:pPr>
        <w:spacing w:line="276" w:lineRule="auto"/>
        <w:rPr>
          <w:rFonts w:cstheme="minorHAnsi"/>
        </w:rPr>
      </w:pPr>
      <w:r w:rsidRPr="003F5F8A">
        <w:rPr>
          <w:rFonts w:cstheme="minorHAnsi"/>
        </w:rPr>
        <w:t>Access to, and use of, UPI Codes and the UPI Data Standard should be unrestricted. Authorities should have access to, and use of, the UPI Reference Data Library that is similarly unrestr</w:t>
      </w:r>
      <w:r w:rsidRPr="009F5C43">
        <w:rPr>
          <w:rFonts w:cstheme="minorHAnsi"/>
        </w:rPr>
        <w:t>icted. Entities with</w:t>
      </w:r>
      <w:r w:rsidRPr="003034AA">
        <w:rPr>
          <w:rFonts w:cstheme="minorHAnsi"/>
        </w:rPr>
        <w:t xml:space="preserve"> reporting obligations and TRs should have access to, and use of, the UPI Reference Da</w:t>
      </w:r>
      <w:r w:rsidRPr="009A53EF">
        <w:rPr>
          <w:rFonts w:cstheme="minorHAnsi"/>
        </w:rPr>
        <w:t xml:space="preserve">ta Library in a manner that is sufficient to at least </w:t>
      </w:r>
      <w:r w:rsidRPr="006B3EDC">
        <w:rPr>
          <w:rFonts w:cstheme="minorHAnsi"/>
        </w:rPr>
        <w:t>allow them to associate a specific OTC derivative product to its UPI Code in a timely manner and facilitate the discharge of reporting obligations for OTC derivatives transactions.</w:t>
      </w:r>
    </w:p>
    <w:p w14:paraId="74B7E6DA" w14:textId="77777777" w:rsidR="00185AC3" w:rsidRPr="003F5F8A" w:rsidRDefault="00185AC3" w:rsidP="0048715D">
      <w:pPr>
        <w:pStyle w:val="ListParagraph"/>
        <w:numPr>
          <w:ilvl w:val="0"/>
          <w:numId w:val="13"/>
        </w:numPr>
        <w:spacing w:after="0" w:line="276" w:lineRule="auto"/>
        <w:rPr>
          <w:rFonts w:cstheme="minorHAnsi"/>
          <w:b/>
          <w:bCs/>
        </w:rPr>
      </w:pPr>
      <w:r w:rsidRPr="003F5F8A">
        <w:rPr>
          <w:rFonts w:cstheme="minorHAnsi"/>
          <w:b/>
        </w:rPr>
        <w:t>Cost</w:t>
      </w:r>
    </w:p>
    <w:p w14:paraId="4E2020D2" w14:textId="77777777" w:rsidR="00185AC3" w:rsidRPr="003F5F8A" w:rsidRDefault="00185AC3" w:rsidP="0087769A">
      <w:pPr>
        <w:spacing w:after="240" w:line="276" w:lineRule="auto"/>
        <w:rPr>
          <w:rFonts w:cstheme="minorHAnsi"/>
        </w:rPr>
      </w:pPr>
      <w:r w:rsidRPr="003F5F8A">
        <w:rPr>
          <w:rFonts w:cstheme="minorHAnsi"/>
        </w:rPr>
        <w:t>Any fees charged by the UPI Service Provider(s) should be based on cost recovery and should be allocated among stakeholders fairly. For Authorities, use of the UPI System should be free.</w:t>
      </w:r>
    </w:p>
    <w:p w14:paraId="4197FA38" w14:textId="77777777" w:rsidR="00185AC3" w:rsidRPr="003F5F8A" w:rsidRDefault="00185AC3" w:rsidP="0048715D">
      <w:pPr>
        <w:pStyle w:val="ListParagraph"/>
        <w:numPr>
          <w:ilvl w:val="0"/>
          <w:numId w:val="13"/>
        </w:numPr>
        <w:spacing w:after="0" w:line="276" w:lineRule="auto"/>
        <w:rPr>
          <w:rFonts w:cstheme="minorHAnsi"/>
          <w:b/>
          <w:bCs/>
        </w:rPr>
      </w:pPr>
      <w:r w:rsidRPr="003F5F8A">
        <w:rPr>
          <w:rFonts w:cstheme="minorHAnsi"/>
          <w:b/>
          <w:bCs/>
        </w:rPr>
        <w:t>Intellectual property</w:t>
      </w:r>
    </w:p>
    <w:p w14:paraId="7E671FB0" w14:textId="77777777" w:rsidR="00185AC3" w:rsidRPr="003F5F8A" w:rsidRDefault="00185AC3" w:rsidP="0087769A">
      <w:pPr>
        <w:spacing w:line="276" w:lineRule="auto"/>
        <w:rPr>
          <w:rFonts w:cstheme="minorHAnsi"/>
        </w:rPr>
      </w:pPr>
      <w:r w:rsidRPr="003F5F8A">
        <w:rPr>
          <w:rFonts w:cstheme="minorHAnsi"/>
        </w:rPr>
        <w:t>The UPI Data Standard should not be subject to any intellectual property restriction. Consistent with this, the use of any UPI Code should be free of licensing restrictions. As to the UPI Reference Data Library, i</w:t>
      </w:r>
      <w:r w:rsidRPr="009F5C43">
        <w:rPr>
          <w:rFonts w:cstheme="minorHAnsi"/>
        </w:rPr>
        <w:t>ntellectual property</w:t>
      </w:r>
      <w:r w:rsidRPr="003034AA">
        <w:rPr>
          <w:rFonts w:cstheme="minorHAnsi"/>
        </w:rPr>
        <w:t xml:space="preserve"> restrictions should be applied in a manner consistent with the rules applicable </w:t>
      </w:r>
      <w:proofErr w:type="gramStart"/>
      <w:r w:rsidRPr="003034AA">
        <w:rPr>
          <w:rFonts w:cstheme="minorHAnsi"/>
        </w:rPr>
        <w:t xml:space="preserve">in a </w:t>
      </w:r>
      <w:r w:rsidRPr="009A53EF">
        <w:rPr>
          <w:rFonts w:cstheme="minorHAnsi"/>
        </w:rPr>
        <w:t>given</w:t>
      </w:r>
      <w:proofErr w:type="gramEnd"/>
      <w:r w:rsidRPr="009A53EF">
        <w:rPr>
          <w:rFonts w:cstheme="minorHAnsi"/>
        </w:rPr>
        <w:t xml:space="preserve"> jurisdiction.</w:t>
      </w:r>
    </w:p>
    <w:p w14:paraId="5537B1FA" w14:textId="77777777" w:rsidR="00185AC3" w:rsidRPr="003F5F8A" w:rsidRDefault="00185AC3" w:rsidP="0048715D">
      <w:pPr>
        <w:pStyle w:val="ListParagraph"/>
        <w:numPr>
          <w:ilvl w:val="0"/>
          <w:numId w:val="13"/>
        </w:numPr>
        <w:spacing w:after="0" w:line="276" w:lineRule="auto"/>
        <w:rPr>
          <w:rFonts w:cstheme="minorHAnsi"/>
          <w:b/>
          <w:bCs/>
        </w:rPr>
      </w:pPr>
      <w:r w:rsidRPr="003F5F8A">
        <w:rPr>
          <w:rFonts w:cstheme="minorHAnsi"/>
          <w:b/>
        </w:rPr>
        <w:lastRenderedPageBreak/>
        <w:t>Conflicts of interest</w:t>
      </w:r>
    </w:p>
    <w:p w14:paraId="54B39438" w14:textId="77777777" w:rsidR="00185AC3" w:rsidRPr="003034AA" w:rsidRDefault="00185AC3" w:rsidP="0087769A">
      <w:pPr>
        <w:spacing w:line="276" w:lineRule="auto"/>
        <w:rPr>
          <w:rFonts w:cstheme="minorHAnsi"/>
        </w:rPr>
      </w:pPr>
      <w:r w:rsidRPr="003F5F8A">
        <w:rPr>
          <w:rFonts w:cstheme="minorHAnsi"/>
        </w:rPr>
        <w:t xml:space="preserve">The UPI Service Provider(s) should have policies and procedures that are reasonably designed to detect and effectively manage </w:t>
      </w:r>
      <w:r w:rsidRPr="009F5C43">
        <w:rPr>
          <w:rFonts w:cstheme="minorHAnsi"/>
        </w:rPr>
        <w:t>any potential conflict of interest. Access to the UPI should not be tied or bundled with any other services offered by a UPI Service Provider.</w:t>
      </w:r>
    </w:p>
    <w:p w14:paraId="0849FE5D" w14:textId="77777777" w:rsidR="00185AC3" w:rsidRPr="003F5F8A" w:rsidRDefault="00185AC3" w:rsidP="0048715D">
      <w:pPr>
        <w:pStyle w:val="ListParagraph"/>
        <w:numPr>
          <w:ilvl w:val="0"/>
          <w:numId w:val="13"/>
        </w:numPr>
        <w:spacing w:after="0" w:line="276" w:lineRule="auto"/>
        <w:rPr>
          <w:rFonts w:cstheme="minorHAnsi"/>
          <w:b/>
          <w:bCs/>
        </w:rPr>
      </w:pPr>
      <w:r w:rsidRPr="003F5F8A">
        <w:rPr>
          <w:rFonts w:cstheme="minorHAnsi"/>
          <w:b/>
          <w:bCs/>
        </w:rPr>
        <w:t>Fit for purpose</w:t>
      </w:r>
    </w:p>
    <w:p w14:paraId="19AFFD58" w14:textId="77777777" w:rsidR="00185AC3" w:rsidRPr="003F5F8A" w:rsidRDefault="00185AC3" w:rsidP="0087769A">
      <w:pPr>
        <w:spacing w:line="276" w:lineRule="auto"/>
        <w:rPr>
          <w:rFonts w:cstheme="minorHAnsi"/>
        </w:rPr>
      </w:pPr>
      <w:r w:rsidRPr="003F5F8A">
        <w:rPr>
          <w:rFonts w:cstheme="minorHAnsi"/>
        </w:rPr>
        <w:t>UPI Governance Arrangements should be able to perform the relevant functions identified in a timely and efficient manner and should have reasonable access to the necessary resources and information to do this. UPI Governance Arrangements should maintain the fitness of the UPI System and UPI Technical Guidance for the needs of Authorities.</w:t>
      </w:r>
    </w:p>
    <w:p w14:paraId="0F96DE5B" w14:textId="77777777" w:rsidR="00185AC3" w:rsidRPr="003F5F8A" w:rsidRDefault="00185AC3" w:rsidP="0048715D">
      <w:pPr>
        <w:pStyle w:val="ListParagraph"/>
        <w:numPr>
          <w:ilvl w:val="0"/>
          <w:numId w:val="13"/>
        </w:numPr>
        <w:spacing w:after="0" w:line="276" w:lineRule="auto"/>
        <w:rPr>
          <w:rFonts w:cstheme="minorHAnsi"/>
          <w:b/>
          <w:bCs/>
        </w:rPr>
      </w:pPr>
      <w:r w:rsidRPr="003F5F8A">
        <w:rPr>
          <w:rFonts w:cstheme="minorHAnsi"/>
          <w:b/>
          <w:bCs/>
        </w:rPr>
        <w:t>Consideration of other Governance Frameworks</w:t>
      </w:r>
    </w:p>
    <w:p w14:paraId="29DD042E" w14:textId="77777777" w:rsidR="00185AC3" w:rsidRPr="003F5F8A" w:rsidRDefault="00185AC3" w:rsidP="0087769A">
      <w:pPr>
        <w:spacing w:line="276" w:lineRule="auto"/>
        <w:rPr>
          <w:rFonts w:cstheme="minorHAnsi"/>
        </w:rPr>
      </w:pPr>
      <w:r w:rsidRPr="003F5F8A">
        <w:rPr>
          <w:rFonts w:cstheme="minorHAnsi"/>
        </w:rPr>
        <w:t>Governance Frameworks for the UPI should take into consideration other Governance Frameworks that impact other data elements, such as the LEI, the UTI, and other critical data elements for OTC derivatives.</w:t>
      </w:r>
    </w:p>
    <w:p w14:paraId="1EF61841" w14:textId="77777777" w:rsidR="00185AC3" w:rsidRPr="003F5F8A" w:rsidRDefault="00185AC3" w:rsidP="0048715D">
      <w:pPr>
        <w:pStyle w:val="ListParagraph"/>
        <w:numPr>
          <w:ilvl w:val="0"/>
          <w:numId w:val="13"/>
        </w:numPr>
        <w:spacing w:after="0" w:line="276" w:lineRule="auto"/>
        <w:rPr>
          <w:rFonts w:cstheme="minorHAnsi"/>
          <w:b/>
          <w:bCs/>
        </w:rPr>
      </w:pPr>
      <w:r w:rsidRPr="003F5F8A">
        <w:rPr>
          <w:rFonts w:cstheme="minorHAnsi"/>
          <w:b/>
          <w:bCs/>
        </w:rPr>
        <w:t>Operational viability and continuity of UPI Service Provider operations</w:t>
      </w:r>
    </w:p>
    <w:p w14:paraId="620D2A49" w14:textId="77777777" w:rsidR="00185AC3" w:rsidRPr="006B3EDC" w:rsidRDefault="00185AC3" w:rsidP="0087769A">
      <w:pPr>
        <w:spacing w:after="360" w:line="276" w:lineRule="auto"/>
        <w:rPr>
          <w:rFonts w:cstheme="minorHAnsi"/>
        </w:rPr>
      </w:pPr>
      <w:r w:rsidRPr="003F5F8A">
        <w:rPr>
          <w:rFonts w:cstheme="minorHAnsi"/>
        </w:rPr>
        <w:t>Governance of the UPI System should be such that any UPI Service Provider should be required to have adequate resources, legal authorities, and reasonable policies and pro</w:t>
      </w:r>
      <w:r w:rsidRPr="009F5C43">
        <w:rPr>
          <w:rFonts w:cstheme="minorHAnsi"/>
        </w:rPr>
        <w:t>cedures in place designated or</w:t>
      </w:r>
      <w:r w:rsidRPr="003034AA">
        <w:rPr>
          <w:rFonts w:cstheme="minorHAnsi"/>
        </w:rPr>
        <w:t xml:space="preserve"> adequate to ensure operational viability, system security, and business and </w:t>
      </w:r>
      <w:r w:rsidRPr="009A53EF">
        <w:rPr>
          <w:rFonts w:cstheme="minorHAnsi"/>
        </w:rPr>
        <w:t xml:space="preserve">system continuity and succession, </w:t>
      </w:r>
      <w:proofErr w:type="gramStart"/>
      <w:r w:rsidRPr="009A53EF">
        <w:rPr>
          <w:rFonts w:cstheme="minorHAnsi"/>
        </w:rPr>
        <w:t>so a</w:t>
      </w:r>
      <w:r w:rsidRPr="006B3EDC">
        <w:rPr>
          <w:rFonts w:cstheme="minorHAnsi"/>
        </w:rPr>
        <w:t>s to</w:t>
      </w:r>
      <w:proofErr w:type="gramEnd"/>
      <w:r w:rsidRPr="006B3EDC">
        <w:rPr>
          <w:rFonts w:cstheme="minorHAnsi"/>
        </w:rPr>
        <w:t xml:space="preserve"> enable it to operate securely and effectively as a UPI Service Provider.</w:t>
      </w:r>
    </w:p>
    <w:p w14:paraId="2E1C26F6" w14:textId="77777777" w:rsidR="00185AC3" w:rsidRPr="003F5F8A" w:rsidRDefault="00185AC3" w:rsidP="0048715D">
      <w:pPr>
        <w:pStyle w:val="Heading2"/>
        <w:spacing w:before="0" w:line="276" w:lineRule="auto"/>
        <w:rPr>
          <w:rFonts w:asciiTheme="minorHAnsi" w:hAnsiTheme="minorHAnsi" w:cstheme="minorHAnsi"/>
          <w:sz w:val="22"/>
          <w:szCs w:val="22"/>
        </w:rPr>
      </w:pPr>
      <w:bookmarkStart w:id="69" w:name="_Toc60651765"/>
      <w:bookmarkStart w:id="70" w:name="_Toc61255921"/>
      <w:r w:rsidRPr="003F5F8A">
        <w:rPr>
          <w:rFonts w:asciiTheme="minorHAnsi" w:hAnsiTheme="minorHAnsi" w:cstheme="minorHAnsi"/>
          <w:sz w:val="22"/>
          <w:szCs w:val="22"/>
        </w:rPr>
        <w:t>UPI Implementation Timeline</w:t>
      </w:r>
      <w:bookmarkEnd w:id="69"/>
      <w:bookmarkEnd w:id="70"/>
      <w:r w:rsidRPr="003F5F8A">
        <w:rPr>
          <w:rFonts w:asciiTheme="minorHAnsi" w:hAnsiTheme="minorHAnsi" w:cstheme="minorHAnsi"/>
          <w:sz w:val="22"/>
          <w:szCs w:val="22"/>
        </w:rPr>
        <w:t xml:space="preserve"> </w:t>
      </w:r>
    </w:p>
    <w:p w14:paraId="090F6930" w14:textId="77777777" w:rsidR="00185AC3" w:rsidRPr="009A53EF" w:rsidRDefault="00185AC3" w:rsidP="0087769A">
      <w:pPr>
        <w:spacing w:line="276" w:lineRule="auto"/>
        <w:jc w:val="both"/>
        <w:rPr>
          <w:rFonts w:cstheme="minorHAnsi"/>
        </w:rPr>
      </w:pPr>
      <w:r w:rsidRPr="003F5F8A">
        <w:rPr>
          <w:rFonts w:cstheme="minorHAnsi"/>
        </w:rPr>
        <w:t>As part of its Governance arrangements for the UPI</w:t>
      </w:r>
      <w:r w:rsidRPr="003F5F8A">
        <w:rPr>
          <w:rStyle w:val="FootnoteReference"/>
          <w:rFonts w:cstheme="minorHAnsi"/>
        </w:rPr>
        <w:footnoteReference w:id="25"/>
      </w:r>
      <w:r w:rsidRPr="003F5F8A">
        <w:rPr>
          <w:rFonts w:cstheme="minorHAnsi"/>
        </w:rPr>
        <w:t>, the FSB outlined high-level expectations for global UPI implementation planning. It was recognised that jurisdictional implementation is likely to be staggered, occurring at varying speeds bec</w:t>
      </w:r>
      <w:r w:rsidRPr="009F5C43">
        <w:rPr>
          <w:rFonts w:cstheme="minorHAnsi"/>
        </w:rPr>
        <w:t>ause of the independent decision-making proce</w:t>
      </w:r>
      <w:r w:rsidRPr="003034AA">
        <w:rPr>
          <w:rFonts w:cstheme="minorHAnsi"/>
        </w:rPr>
        <w:t xml:space="preserve">sses and prioritisation of initiatives. </w:t>
      </w:r>
    </w:p>
    <w:p w14:paraId="2F43044C" w14:textId="77777777" w:rsidR="00185AC3" w:rsidRPr="003F5F8A" w:rsidRDefault="00185AC3" w:rsidP="0087769A">
      <w:pPr>
        <w:spacing w:line="276" w:lineRule="auto"/>
        <w:jc w:val="both"/>
        <w:rPr>
          <w:rFonts w:cstheme="minorHAnsi"/>
        </w:rPr>
      </w:pPr>
      <w:r w:rsidRPr="006B3EDC">
        <w:rPr>
          <w:rFonts w:cstheme="minorHAnsi"/>
        </w:rPr>
        <w:t>Allowing for legal changes to be made and for TRs and reporting entities to adapt, the FSB recommendation is that jurisdictions undertake the necessary actions relevant to their situation to implement the UPI technical guidance</w:t>
      </w:r>
      <w:r w:rsidRPr="003F5F8A">
        <w:rPr>
          <w:rStyle w:val="FootnoteReference"/>
          <w:rFonts w:cstheme="minorHAnsi"/>
        </w:rPr>
        <w:footnoteReference w:id="26"/>
      </w:r>
      <w:r w:rsidRPr="003F5F8A">
        <w:rPr>
          <w:rFonts w:cstheme="minorHAnsi"/>
        </w:rPr>
        <w:t xml:space="preserve"> no later than the third quarter of 2022. </w:t>
      </w:r>
    </w:p>
    <w:p w14:paraId="39089161" w14:textId="763CB149" w:rsidR="00185AC3" w:rsidRDefault="00185AC3" w:rsidP="0087769A">
      <w:pPr>
        <w:spacing w:after="0" w:line="276" w:lineRule="auto"/>
        <w:jc w:val="both"/>
        <w:rPr>
          <w:rFonts w:cstheme="minorHAnsi"/>
        </w:rPr>
      </w:pPr>
      <w:r w:rsidRPr="009F5C43">
        <w:rPr>
          <w:rFonts w:cstheme="minorHAnsi"/>
        </w:rPr>
        <w:t xml:space="preserve">In preparation for UPI adoption and implementation by supervisory authorities, the DSB continues to work with ROC, </w:t>
      </w:r>
      <w:r w:rsidRPr="003F5F8A">
        <w:rPr>
          <w:rFonts w:cstheme="minorHAnsi"/>
        </w:rPr>
        <w:t xml:space="preserve">and industry stakeholders to refine the requirements and framework for UPI integration. </w:t>
      </w:r>
      <w:bookmarkStart w:id="71" w:name="_Ref57896470"/>
    </w:p>
    <w:p w14:paraId="18BE11CE" w14:textId="77777777" w:rsidR="00185AC3" w:rsidRDefault="00185AC3" w:rsidP="0087769A">
      <w:pPr>
        <w:spacing w:after="0" w:line="276" w:lineRule="auto"/>
        <w:jc w:val="both"/>
        <w:rPr>
          <w:rFonts w:cstheme="minorHAnsi"/>
        </w:rPr>
      </w:pPr>
    </w:p>
    <w:p w14:paraId="4EBDBDF6" w14:textId="77777777" w:rsidR="00185AC3" w:rsidRPr="009F5C43" w:rsidRDefault="00185AC3" w:rsidP="0087769A">
      <w:pPr>
        <w:spacing w:after="0" w:line="276" w:lineRule="auto"/>
        <w:jc w:val="both"/>
        <w:rPr>
          <w:rFonts w:cstheme="minorHAnsi"/>
          <w:color w:val="30AEB9"/>
        </w:rPr>
      </w:pPr>
    </w:p>
    <w:p w14:paraId="4D65A3D5" w14:textId="77777777" w:rsidR="000B0A3A" w:rsidRDefault="000B0A3A">
      <w:pPr>
        <w:rPr>
          <w:rFonts w:asciiTheme="majorHAnsi" w:eastAsiaTheme="majorEastAsia" w:hAnsiTheme="majorHAnsi" w:cstheme="majorBidi"/>
          <w:color w:val="30AEB9"/>
          <w:sz w:val="32"/>
          <w:szCs w:val="32"/>
        </w:rPr>
      </w:pPr>
      <w:bookmarkStart w:id="72" w:name="_Toc60651766"/>
      <w:bookmarkStart w:id="73" w:name="_Toc60651767"/>
      <w:bookmarkEnd w:id="72"/>
      <w:r>
        <w:rPr>
          <w:color w:val="30AEB9"/>
        </w:rPr>
        <w:br w:type="page"/>
      </w:r>
    </w:p>
    <w:p w14:paraId="602D7410" w14:textId="0B90CF19" w:rsidR="00185AC3" w:rsidRPr="003F5F8A" w:rsidRDefault="00185AC3" w:rsidP="0048715D">
      <w:pPr>
        <w:pStyle w:val="Heading1"/>
        <w:spacing w:before="0" w:line="276" w:lineRule="auto"/>
        <w:jc w:val="both"/>
        <w:rPr>
          <w:color w:val="30AEB9"/>
        </w:rPr>
      </w:pPr>
      <w:bookmarkStart w:id="74" w:name="_Toc61255922"/>
      <w:r w:rsidRPr="009F5C43">
        <w:rPr>
          <w:color w:val="30AEB9"/>
        </w:rPr>
        <w:lastRenderedPageBreak/>
        <w:t>Assumptions</w:t>
      </w:r>
      <w:bookmarkEnd w:id="71"/>
      <w:bookmarkEnd w:id="73"/>
      <w:bookmarkEnd w:id="74"/>
      <w:r w:rsidRPr="003F5F8A">
        <w:rPr>
          <w:color w:val="30AEB9"/>
        </w:rPr>
        <w:t xml:space="preserve"> </w:t>
      </w:r>
    </w:p>
    <w:p w14:paraId="4ACA60A7" w14:textId="1226E83C" w:rsidR="00185AC3" w:rsidRDefault="00185AC3" w:rsidP="0087769A">
      <w:pPr>
        <w:spacing w:after="240" w:line="276" w:lineRule="auto"/>
        <w:jc w:val="both"/>
        <w:rPr>
          <w:rFonts w:cstheme="minorHAnsi"/>
        </w:rPr>
      </w:pPr>
      <w:r w:rsidRPr="009F5C43">
        <w:rPr>
          <w:rFonts w:cstheme="minorHAnsi"/>
        </w:rPr>
        <w:t>The DSB</w:t>
      </w:r>
      <w:r w:rsidRPr="003034AA">
        <w:rPr>
          <w:rFonts w:cstheme="minorHAnsi"/>
        </w:rPr>
        <w:t xml:space="preserve"> assumptions set out below underpin the core approach for the UPI service implementation, and thus impact user fees</w:t>
      </w:r>
      <w:r>
        <w:rPr>
          <w:rFonts w:cstheme="minorHAnsi"/>
        </w:rPr>
        <w:t>, which are used for cost recovery</w:t>
      </w:r>
      <w:r>
        <w:rPr>
          <w:rStyle w:val="FootnoteReference"/>
          <w:rFonts w:cstheme="minorHAnsi"/>
        </w:rPr>
        <w:footnoteReference w:id="27"/>
      </w:r>
      <w:r>
        <w:rPr>
          <w:rFonts w:cstheme="minorHAnsi"/>
        </w:rPr>
        <w:t xml:space="preserve">. </w:t>
      </w:r>
      <w:r w:rsidR="00894382">
        <w:rPr>
          <w:rFonts w:cstheme="minorHAnsi"/>
        </w:rPr>
        <w:t xml:space="preserve">Estimated costs will be included in the next consultation, including a breakdown of the key cost </w:t>
      </w:r>
      <w:r w:rsidR="00630466">
        <w:rPr>
          <w:rFonts w:cstheme="minorHAnsi"/>
        </w:rPr>
        <w:t>components</w:t>
      </w:r>
      <w:r w:rsidR="007B2B17">
        <w:rPr>
          <w:rFonts w:cstheme="minorHAnsi"/>
        </w:rPr>
        <w:t xml:space="preserve">, subject to the feedback received in response to this paper. </w:t>
      </w:r>
    </w:p>
    <w:p w14:paraId="50EAD483" w14:textId="77777777" w:rsidR="00185AC3" w:rsidRDefault="00185AC3" w:rsidP="0087769A">
      <w:pPr>
        <w:spacing w:after="240" w:line="276" w:lineRule="auto"/>
        <w:jc w:val="both"/>
        <w:rPr>
          <w:rFonts w:cstheme="minorHAnsi"/>
        </w:rPr>
      </w:pPr>
      <w:r w:rsidRPr="003034AA">
        <w:rPr>
          <w:rFonts w:cstheme="minorHAnsi"/>
        </w:rPr>
        <w:t xml:space="preserve">This section includes </w:t>
      </w:r>
      <w:r w:rsidRPr="009A53EF">
        <w:rPr>
          <w:rFonts w:cstheme="minorHAnsi"/>
        </w:rPr>
        <w:t xml:space="preserve">DSB expectations about </w:t>
      </w:r>
      <w:r w:rsidRPr="006B3EDC">
        <w:rPr>
          <w:rFonts w:cstheme="minorHAnsi"/>
        </w:rPr>
        <w:t xml:space="preserve">jurisdictions’ existing or proposed regulatory adoption of rules </w:t>
      </w:r>
      <w:r>
        <w:rPr>
          <w:rFonts w:cstheme="minorHAnsi"/>
        </w:rPr>
        <w:t>implementing</w:t>
      </w:r>
      <w:r w:rsidRPr="001E12ED">
        <w:rPr>
          <w:rFonts w:cstheme="minorHAnsi"/>
        </w:rPr>
        <w:t xml:space="preserve"> UPI</w:t>
      </w:r>
      <w:r w:rsidRPr="006B3EDC">
        <w:rPr>
          <w:rFonts w:cstheme="minorHAnsi"/>
        </w:rPr>
        <w:t xml:space="preserve"> as a product identifier, the estimated number of UPIs to be created (based on the data elements specified in the UPI Technical Guidance document and available to the DSB via an existing service, the OTC ISIN service provision), DSB expectations regarding alignment of the UPI with other international standards, and the existing service model that the DSB seeks to leverage in application of the Lean governance criteria,</w:t>
      </w:r>
      <w:r w:rsidRPr="003F5F8A">
        <w:rPr>
          <w:rStyle w:val="normaltextrun"/>
          <w:rFonts w:cstheme="minorHAnsi"/>
          <w:color w:val="000000"/>
        </w:rPr>
        <w:t xml:space="preserve"> described in section </w:t>
      </w:r>
      <w:r w:rsidRPr="003F5F8A">
        <w:rPr>
          <w:rStyle w:val="normaltextrun"/>
          <w:rFonts w:cstheme="minorHAnsi"/>
          <w:i/>
          <w:color w:val="000000"/>
        </w:rPr>
        <w:fldChar w:fldCharType="begin"/>
      </w:r>
      <w:r w:rsidRPr="003F5F8A">
        <w:rPr>
          <w:rStyle w:val="normaltextrun"/>
          <w:rFonts w:cstheme="minorHAnsi"/>
          <w:i/>
          <w:color w:val="000000"/>
        </w:rPr>
        <w:instrText xml:space="preserve"> REF _Ref58234110 \r \h  \* MERGEFORMAT </w:instrText>
      </w:r>
      <w:r w:rsidRPr="003F5F8A">
        <w:rPr>
          <w:rStyle w:val="normaltextrun"/>
          <w:rFonts w:cstheme="minorHAnsi"/>
          <w:i/>
          <w:color w:val="000000"/>
        </w:rPr>
      </w:r>
      <w:r w:rsidRPr="003F5F8A">
        <w:rPr>
          <w:rStyle w:val="normaltextrun"/>
          <w:rFonts w:cstheme="minorHAnsi"/>
          <w:i/>
          <w:color w:val="000000"/>
        </w:rPr>
        <w:fldChar w:fldCharType="separate"/>
      </w:r>
      <w:r w:rsidRPr="003F5F8A">
        <w:rPr>
          <w:rStyle w:val="normaltextrun"/>
          <w:rFonts w:cstheme="minorHAnsi"/>
          <w:i/>
          <w:color w:val="000000"/>
        </w:rPr>
        <w:t>3.2.2</w:t>
      </w:r>
      <w:r w:rsidRPr="003F5F8A">
        <w:rPr>
          <w:rStyle w:val="normaltextrun"/>
          <w:rFonts w:cstheme="minorHAnsi"/>
          <w:i/>
          <w:color w:val="000000"/>
        </w:rPr>
        <w:fldChar w:fldCharType="end"/>
      </w:r>
      <w:r w:rsidRPr="003F5F8A">
        <w:rPr>
          <w:rStyle w:val="normaltextrun"/>
          <w:rFonts w:cstheme="minorHAnsi"/>
          <w:i/>
          <w:iCs/>
          <w:color w:val="000000"/>
        </w:rPr>
        <w:t xml:space="preserve"> </w:t>
      </w:r>
      <w:r w:rsidRPr="003F5F8A">
        <w:rPr>
          <w:rStyle w:val="normaltextrun"/>
          <w:rFonts w:cstheme="minorHAnsi"/>
          <w:i/>
          <w:color w:val="000000"/>
        </w:rPr>
        <w:fldChar w:fldCharType="begin"/>
      </w:r>
      <w:r w:rsidRPr="003F5F8A">
        <w:rPr>
          <w:rStyle w:val="normaltextrun"/>
          <w:rFonts w:cstheme="minorHAnsi"/>
          <w:i/>
          <w:color w:val="000000"/>
        </w:rPr>
        <w:instrText xml:space="preserve"> REF _Ref58234123 \h  \* MERGEFORMAT </w:instrText>
      </w:r>
      <w:r w:rsidRPr="003F5F8A">
        <w:rPr>
          <w:rStyle w:val="normaltextrun"/>
          <w:rFonts w:cstheme="minorHAnsi"/>
          <w:i/>
          <w:color w:val="000000"/>
        </w:rPr>
      </w:r>
      <w:r w:rsidRPr="003F5F8A">
        <w:rPr>
          <w:rStyle w:val="normaltextrun"/>
          <w:rFonts w:cstheme="minorHAnsi"/>
          <w:i/>
          <w:color w:val="000000"/>
        </w:rPr>
        <w:fldChar w:fldCharType="separate"/>
      </w:r>
      <w:r w:rsidRPr="003F5F8A">
        <w:rPr>
          <w:rFonts w:cstheme="minorHAnsi"/>
          <w:i/>
          <w:iCs/>
        </w:rPr>
        <w:t>UPI Governance Criteria</w:t>
      </w:r>
      <w:r w:rsidRPr="003F5F8A">
        <w:rPr>
          <w:rStyle w:val="normaltextrun"/>
          <w:rFonts w:cstheme="minorHAnsi"/>
          <w:i/>
          <w:color w:val="000000"/>
        </w:rPr>
        <w:fldChar w:fldCharType="end"/>
      </w:r>
      <w:r w:rsidRPr="003F5F8A">
        <w:rPr>
          <w:rFonts w:cstheme="minorHAnsi"/>
        </w:rPr>
        <w:t xml:space="preserve">, in order to minimize delivery and implementation costs accrued </w:t>
      </w:r>
      <w:r w:rsidRPr="009F5C43">
        <w:rPr>
          <w:rFonts w:cstheme="minorHAnsi"/>
        </w:rPr>
        <w:t xml:space="preserve">by clients.  </w:t>
      </w:r>
    </w:p>
    <w:p w14:paraId="5BE78A5E" w14:textId="61005C25" w:rsidR="00185AC3" w:rsidRPr="009F5C43" w:rsidRDefault="00185AC3" w:rsidP="0087769A">
      <w:pPr>
        <w:spacing w:after="240" w:line="276" w:lineRule="auto"/>
        <w:jc w:val="both"/>
        <w:rPr>
          <w:rFonts w:cstheme="minorHAnsi"/>
        </w:rPr>
      </w:pPr>
      <w:r>
        <w:rPr>
          <w:rFonts w:cstheme="minorHAnsi"/>
        </w:rPr>
        <w:t xml:space="preserve">With respect to the fee model related considerations set out in this paper, the DSB </w:t>
      </w:r>
      <w:r w:rsidR="005C1651">
        <w:rPr>
          <w:rFonts w:cstheme="minorHAnsi"/>
        </w:rPr>
        <w:t xml:space="preserve">recognises </w:t>
      </w:r>
      <w:r>
        <w:rPr>
          <w:rFonts w:cstheme="minorHAnsi"/>
        </w:rPr>
        <w:t xml:space="preserve">the need for revaluation following initial adoption of the UPI service to ensure that that the UPI model remains fit for purpose. As such, the DSB intends to consult on the key aspects underlying the fee model 2 years after launch of the UPI service. </w:t>
      </w:r>
    </w:p>
    <w:p w14:paraId="5CB41DC0" w14:textId="77777777" w:rsidR="00185AC3" w:rsidRDefault="00185AC3" w:rsidP="0048715D">
      <w:pPr>
        <w:pStyle w:val="Heading2"/>
        <w:spacing w:before="0" w:line="276" w:lineRule="auto"/>
        <w:jc w:val="both"/>
      </w:pPr>
      <w:bookmarkStart w:id="75" w:name="_Ref60648775"/>
      <w:bookmarkStart w:id="76" w:name="_Toc60651768"/>
      <w:bookmarkStart w:id="77" w:name="_Toc61255923"/>
      <w:r>
        <w:t>Leveraging the DSB’s Existing Service Provision</w:t>
      </w:r>
      <w:bookmarkEnd w:id="75"/>
      <w:bookmarkEnd w:id="76"/>
      <w:bookmarkEnd w:id="77"/>
      <w:r>
        <w:t xml:space="preserve"> </w:t>
      </w:r>
    </w:p>
    <w:p w14:paraId="04E63448" w14:textId="77777777" w:rsidR="00185AC3" w:rsidRPr="00B56B63" w:rsidRDefault="00185AC3" w:rsidP="0087769A">
      <w:pPr>
        <w:spacing w:line="276" w:lineRule="auto"/>
        <w:jc w:val="both"/>
      </w:pPr>
      <w:r w:rsidRPr="003F5F8A">
        <w:t>Leveraging the DSB’s existing service provision seeks to provide two primary benefits – the first is a r</w:t>
      </w:r>
      <w:r w:rsidRPr="009F5C43">
        <w:t xml:space="preserve">eduction of the UPI user fee </w:t>
      </w:r>
      <w:r w:rsidRPr="00B56B63">
        <w:t xml:space="preserve">burden by minimizing implementation and run costs for the DSB, and the second is a reduction of the user’s own technology burden so that the several hundred institutions already connected to the DSB can overlay their UPI related workflows in a manner that is more integrated with their other OTC derivative reference data needs. </w:t>
      </w:r>
    </w:p>
    <w:p w14:paraId="0E70665B" w14:textId="77777777" w:rsidR="00185AC3" w:rsidRPr="00B56B63" w:rsidRDefault="00185AC3" w:rsidP="0087769A">
      <w:pPr>
        <w:spacing w:line="276" w:lineRule="auto"/>
        <w:jc w:val="both"/>
      </w:pPr>
      <w:r w:rsidRPr="00B56B63">
        <w:t xml:space="preserve">The DSB is the golden source of the OTC ISIN, CFI and FISN for OTC derivative instruments, for institutions located in or trading with counterparties in the European Union (EU) and the United Kingdom (UK). </w:t>
      </w:r>
    </w:p>
    <w:p w14:paraId="09136D61" w14:textId="77777777" w:rsidR="00185AC3" w:rsidRPr="00B56B63" w:rsidRDefault="00185AC3" w:rsidP="0087769A">
      <w:pPr>
        <w:spacing w:line="276" w:lineRule="auto"/>
        <w:jc w:val="both"/>
      </w:pPr>
      <w:r w:rsidRPr="00B56B63">
        <w:t>The allocation of ISINs, CFI and FISNs for OTC derivatives as well as the provision of access to the OTC ISIN archive and associated reference data, comprise the numbering agency function of the DSB. This function is overseen by ANNA as the Registration Authority for ISIN and FISN standards under contract with the ISO requiring strict adherence to principles over business and technical operations. This includes limiting user fees to cost recovery and requiring reasonable and non-discriminatory (RAND) access to data.</w:t>
      </w:r>
    </w:p>
    <w:p w14:paraId="4957DE2E" w14:textId="77777777" w:rsidR="00185AC3" w:rsidRPr="003F5F8A" w:rsidRDefault="00185AC3" w:rsidP="0087769A">
      <w:pPr>
        <w:spacing w:line="276" w:lineRule="auto"/>
        <w:jc w:val="both"/>
      </w:pPr>
      <w:r w:rsidRPr="00B56B63">
        <w:t xml:space="preserve">Implementation of OTC ISIN, FISN and CFI codes for OTC derivatives has been achieved through ongoing, collaborative work with market participants, </w:t>
      </w:r>
      <w:proofErr w:type="gramStart"/>
      <w:r w:rsidRPr="00B56B63">
        <w:t>regulators</w:t>
      </w:r>
      <w:proofErr w:type="gramEnd"/>
      <w:r w:rsidRPr="00B56B63">
        <w:t xml:space="preserve"> and other standards bodies. The DSB utilises a consultative change process, also specified within the UPI governance criteria</w:t>
      </w:r>
      <w:r w:rsidRPr="00B56B63">
        <w:rPr>
          <w:rStyle w:val="normaltextrun"/>
          <w:rFonts w:ascii="Calibri" w:hAnsi="Calibri" w:cs="Calibri"/>
          <w:color w:val="000000"/>
        </w:rPr>
        <w:t xml:space="preserve"> described in section </w:t>
      </w:r>
      <w:r w:rsidRPr="003F5F8A">
        <w:rPr>
          <w:rStyle w:val="normaltextrun"/>
          <w:rFonts w:ascii="Calibri" w:hAnsi="Calibri" w:cs="Calibri"/>
          <w:i/>
          <w:color w:val="000000"/>
        </w:rPr>
        <w:fldChar w:fldCharType="begin"/>
      </w:r>
      <w:r w:rsidRPr="00B56B63">
        <w:rPr>
          <w:rStyle w:val="normaltextrun"/>
          <w:rFonts w:ascii="Calibri" w:hAnsi="Calibri" w:cs="Calibri"/>
          <w:i/>
          <w:color w:val="000000"/>
        </w:rPr>
        <w:instrText xml:space="preserve"> REF _Ref58234110 \r \h  \* MERGEFORMAT </w:instrText>
      </w:r>
      <w:r w:rsidRPr="003F5F8A">
        <w:rPr>
          <w:rStyle w:val="normaltextrun"/>
          <w:rFonts w:ascii="Calibri" w:hAnsi="Calibri" w:cs="Calibri"/>
          <w:i/>
          <w:color w:val="000000"/>
        </w:rPr>
      </w:r>
      <w:r w:rsidRPr="003F5F8A">
        <w:rPr>
          <w:rStyle w:val="normaltextrun"/>
          <w:rFonts w:ascii="Calibri" w:hAnsi="Calibri" w:cs="Calibri"/>
          <w:i/>
          <w:color w:val="000000"/>
        </w:rPr>
        <w:fldChar w:fldCharType="separate"/>
      </w:r>
      <w:r w:rsidRPr="003F5F8A">
        <w:rPr>
          <w:rStyle w:val="normaltextrun"/>
          <w:rFonts w:ascii="Calibri" w:hAnsi="Calibri" w:cs="Calibri"/>
          <w:i/>
          <w:color w:val="000000"/>
        </w:rPr>
        <w:t>3.2.2</w:t>
      </w:r>
      <w:r w:rsidRPr="003F5F8A">
        <w:rPr>
          <w:rStyle w:val="normaltextrun"/>
          <w:rFonts w:ascii="Calibri" w:hAnsi="Calibri" w:cs="Calibri"/>
          <w:i/>
          <w:color w:val="000000"/>
        </w:rPr>
        <w:fldChar w:fldCharType="end"/>
      </w:r>
      <w:r w:rsidRPr="003F5F8A">
        <w:rPr>
          <w:rStyle w:val="normaltextrun"/>
          <w:rFonts w:ascii="Calibri" w:hAnsi="Calibri" w:cs="Calibri"/>
          <w:i/>
          <w:iCs/>
          <w:color w:val="000000"/>
        </w:rPr>
        <w:t xml:space="preserve"> </w:t>
      </w:r>
      <w:r w:rsidRPr="003F5F8A">
        <w:rPr>
          <w:rStyle w:val="normaltextrun"/>
          <w:rFonts w:ascii="Calibri" w:hAnsi="Calibri" w:cs="Calibri"/>
          <w:i/>
          <w:color w:val="000000"/>
        </w:rPr>
        <w:fldChar w:fldCharType="begin"/>
      </w:r>
      <w:r w:rsidRPr="00B56B63">
        <w:rPr>
          <w:rStyle w:val="normaltextrun"/>
          <w:rFonts w:ascii="Calibri" w:hAnsi="Calibri" w:cs="Calibri"/>
          <w:i/>
          <w:color w:val="000000"/>
        </w:rPr>
        <w:instrText xml:space="preserve"> REF _Ref58234123 \h  \* MERGEFORMAT </w:instrText>
      </w:r>
      <w:r w:rsidRPr="003F5F8A">
        <w:rPr>
          <w:rStyle w:val="normaltextrun"/>
          <w:rFonts w:ascii="Calibri" w:hAnsi="Calibri" w:cs="Calibri"/>
          <w:i/>
          <w:color w:val="000000"/>
        </w:rPr>
      </w:r>
      <w:r w:rsidRPr="003F5F8A">
        <w:rPr>
          <w:rStyle w:val="normaltextrun"/>
          <w:rFonts w:ascii="Calibri" w:hAnsi="Calibri" w:cs="Calibri"/>
          <w:i/>
          <w:color w:val="000000"/>
        </w:rPr>
        <w:fldChar w:fldCharType="separate"/>
      </w:r>
      <w:r w:rsidRPr="003F5F8A">
        <w:rPr>
          <w:i/>
          <w:iCs/>
        </w:rPr>
        <w:t>UPI Governance Criteria</w:t>
      </w:r>
      <w:r w:rsidRPr="003F5F8A">
        <w:rPr>
          <w:rStyle w:val="normaltextrun"/>
          <w:rFonts w:ascii="Calibri" w:hAnsi="Calibri" w:cs="Calibri"/>
          <w:i/>
          <w:color w:val="000000"/>
        </w:rPr>
        <w:fldChar w:fldCharType="end"/>
      </w:r>
      <w:r w:rsidRPr="003F5F8A">
        <w:t xml:space="preserve">, to allow for stakeholder input to shape the evolution of the service. </w:t>
      </w:r>
    </w:p>
    <w:p w14:paraId="4AF3708A" w14:textId="77777777" w:rsidR="00185AC3" w:rsidRPr="00B56B63" w:rsidRDefault="00185AC3" w:rsidP="0087769A">
      <w:pPr>
        <w:spacing w:line="276" w:lineRule="auto"/>
        <w:jc w:val="both"/>
      </w:pPr>
      <w:r w:rsidRPr="009F5C43">
        <w:lastRenderedPageBreak/>
        <w:t>In addition to the application of the cost recovery and RAND (unrestricted data and open access) principles, the DS</w:t>
      </w:r>
      <w:r w:rsidRPr="00B56B63">
        <w:t>B also ensures equal treatment of all users through utilisation of a common agreement, and the levy of user fees through annual contracts that require payment in advance. These principles aim to secure the financial sustainability of the DSB as well as provide parity and efficiency in delivery of service.</w:t>
      </w:r>
    </w:p>
    <w:p w14:paraId="78313233" w14:textId="77777777" w:rsidR="00185AC3" w:rsidRPr="00B56B63" w:rsidRDefault="00185AC3" w:rsidP="0087769A">
      <w:pPr>
        <w:spacing w:line="276" w:lineRule="auto"/>
        <w:jc w:val="both"/>
      </w:pPr>
      <w:r w:rsidRPr="00B56B63">
        <w:t>The current level of OTC ISIN, CFI and FISN generated by the DSB is designed to enable users to satisfy obligations under the European Regulations MiFID</w:t>
      </w:r>
      <w:r w:rsidRPr="003F5F8A">
        <w:rPr>
          <w:rStyle w:val="FootnoteReference"/>
        </w:rPr>
        <w:footnoteReference w:id="28"/>
      </w:r>
      <w:r w:rsidRPr="003F5F8A">
        <w:t xml:space="preserve"> II and MiFIR</w:t>
      </w:r>
      <w:r w:rsidRPr="003F5F8A">
        <w:rPr>
          <w:rStyle w:val="FootnoteReference"/>
        </w:rPr>
        <w:footnoteReference w:id="29"/>
      </w:r>
      <w:r w:rsidRPr="003F5F8A">
        <w:t>, with the capability of an identification hierarchy to be introduced as required by industry, such as UPI. This hierarchical framework, with specific consideration of t</w:t>
      </w:r>
      <w:r w:rsidRPr="009F5C43">
        <w:t xml:space="preserve">he UPI, was developed as part of the DSB core design following the recommendations from an ISO study group when defining the </w:t>
      </w:r>
      <w:r w:rsidRPr="00B56B63">
        <w:t xml:space="preserve">OTC ISIN. In addition, the CFI codes for OTC derivatives generated by the DSB assist industry’s regulatory reporting needs, demonstrating the value of consistently generated identifiers and classification codes that can be efficiently consumed by all users of DSB data. </w:t>
      </w:r>
    </w:p>
    <w:p w14:paraId="4CCCAAD5" w14:textId="77777777" w:rsidR="00E15045" w:rsidRDefault="00185AC3" w:rsidP="0087769A">
      <w:pPr>
        <w:spacing w:line="276" w:lineRule="auto"/>
        <w:jc w:val="both"/>
      </w:pPr>
      <w:r w:rsidRPr="00B56B63">
        <w:t xml:space="preserve">The DSB currently facilitates access for a broad spectrum of users, including credit institutions, small brokerages, private wealth management firms, boutique asset managers, large, multi-segment and/or multi-market trading venues, derivatives </w:t>
      </w:r>
      <w:proofErr w:type="gramStart"/>
      <w:r w:rsidRPr="00B56B63">
        <w:t>houses</w:t>
      </w:r>
      <w:proofErr w:type="gramEnd"/>
      <w:r w:rsidRPr="00B56B63">
        <w:t xml:space="preserve"> from across the buy and sell-sides and universal-bank style sell-side institutions with multiple business segments within a single group holding structure. </w:t>
      </w:r>
    </w:p>
    <w:p w14:paraId="125FC717" w14:textId="48F8EABF" w:rsidR="00185AC3" w:rsidRPr="00B56B63" w:rsidRDefault="00185AC3" w:rsidP="0087769A">
      <w:pPr>
        <w:spacing w:line="276" w:lineRule="auto"/>
        <w:jc w:val="both"/>
      </w:pPr>
      <w:r w:rsidRPr="00B56B63">
        <w:t xml:space="preserve">This consultation requesting feedback to help shape the DSB’s service development has been </w:t>
      </w:r>
      <w:r w:rsidR="00443AB7">
        <w:t xml:space="preserve">made publicly available </w:t>
      </w:r>
      <w:r w:rsidR="00CC7E7E">
        <w:t xml:space="preserve">on the </w:t>
      </w:r>
      <w:hyperlink r:id="rId23" w:history="1">
        <w:r w:rsidR="00CC7E7E" w:rsidRPr="000C0630">
          <w:rPr>
            <w:rStyle w:val="Hyperlink"/>
          </w:rPr>
          <w:t>DSB website</w:t>
        </w:r>
      </w:hyperlink>
      <w:r w:rsidR="003347E0" w:rsidRPr="000C0630">
        <w:rPr>
          <w:rStyle w:val="FootnoteReference"/>
        </w:rPr>
        <w:footnoteReference w:id="30"/>
      </w:r>
      <w:r w:rsidR="00CC7E7E">
        <w:t xml:space="preserve"> </w:t>
      </w:r>
      <w:r w:rsidR="00443AB7">
        <w:t xml:space="preserve">and promoted </w:t>
      </w:r>
      <w:r w:rsidR="00CC7E7E">
        <w:t xml:space="preserve">globally </w:t>
      </w:r>
      <w:r w:rsidR="00443AB7">
        <w:t>via press release</w:t>
      </w:r>
      <w:r w:rsidR="00351A44">
        <w:t>, as well as</w:t>
      </w:r>
      <w:r w:rsidR="00443AB7">
        <w:t xml:space="preserve"> </w:t>
      </w:r>
      <w:r w:rsidRPr="00B56B63">
        <w:t xml:space="preserve">sent to the DSB’s </w:t>
      </w:r>
      <w:r w:rsidR="00351A44">
        <w:t xml:space="preserve">existing </w:t>
      </w:r>
      <w:r w:rsidRPr="00B56B63">
        <w:t>user community, comprising more than 4,100 individuals across 470 organizations</w:t>
      </w:r>
      <w:r w:rsidR="00351A44">
        <w:t>.</w:t>
      </w:r>
      <w:r w:rsidRPr="00B56B63">
        <w:t xml:space="preserve"> </w:t>
      </w:r>
      <w:r w:rsidR="00CC7E7E">
        <w:t>In addition, it has been shared</w:t>
      </w:r>
      <w:r w:rsidRPr="00B56B63">
        <w:t xml:space="preserve"> with the regulatory community for onward distribution to each jurisdiction’s market participants that will be required to submit UPIs as part of their regulatory reporting requirements. The DSB has also worked with major trade associations and participants in each of its industry forums to raise awareness of the consultation, its purpose and intended timelines. </w:t>
      </w:r>
    </w:p>
    <w:p w14:paraId="7F657ADE" w14:textId="197E90B7" w:rsidR="00185AC3" w:rsidRPr="00B56B63" w:rsidRDefault="00C94236" w:rsidP="0087769A">
      <w:pPr>
        <w:spacing w:after="60" w:line="276" w:lineRule="auto"/>
        <w:jc w:val="both"/>
      </w:pPr>
      <w:r>
        <w:t>Within t</w:t>
      </w:r>
      <w:r w:rsidR="00185AC3" w:rsidRPr="00B56B63">
        <w:t>he DSB</w:t>
      </w:r>
      <w:r>
        <w:t xml:space="preserve"> existing service provision</w:t>
      </w:r>
      <w:r w:rsidR="00F52E77">
        <w:t xml:space="preserve">, access is provided </w:t>
      </w:r>
      <w:r w:rsidR="00185AC3" w:rsidRPr="00B56B63">
        <w:t xml:space="preserve">to users on the following basis: </w:t>
      </w:r>
    </w:p>
    <w:p w14:paraId="73279BB8" w14:textId="25976B3D" w:rsidR="00185AC3" w:rsidRPr="003F5F8A" w:rsidRDefault="00185AC3" w:rsidP="0048715D">
      <w:pPr>
        <w:pStyle w:val="ListParagraph"/>
        <w:numPr>
          <w:ilvl w:val="0"/>
          <w:numId w:val="8"/>
        </w:numPr>
        <w:spacing w:after="360" w:line="276" w:lineRule="auto"/>
        <w:jc w:val="both"/>
      </w:pPr>
      <w:r w:rsidRPr="003F5F8A">
        <w:rPr>
          <w:u w:val="single"/>
        </w:rPr>
        <w:t>Power User</w:t>
      </w:r>
      <w:r w:rsidRPr="003F5F8A">
        <w:t>: programmatic connectivity for high volume creation and search services (paid usage)</w:t>
      </w:r>
      <w:bookmarkStart w:id="78" w:name="_Ref60844628"/>
      <w:r w:rsidR="000A5961">
        <w:rPr>
          <w:rStyle w:val="FootnoteReference"/>
        </w:rPr>
        <w:footnoteReference w:id="31"/>
      </w:r>
      <w:bookmarkEnd w:id="78"/>
      <w:r w:rsidRPr="003F5F8A">
        <w:t xml:space="preserve"> </w:t>
      </w:r>
    </w:p>
    <w:p w14:paraId="518DD276" w14:textId="77777777" w:rsidR="00185AC3" w:rsidRPr="003F5F8A" w:rsidRDefault="00185AC3" w:rsidP="0087769A">
      <w:pPr>
        <w:pStyle w:val="ListParagraph"/>
        <w:numPr>
          <w:ilvl w:val="0"/>
          <w:numId w:val="8"/>
        </w:numPr>
        <w:spacing w:after="360" w:line="276" w:lineRule="auto"/>
        <w:jc w:val="both"/>
      </w:pPr>
      <w:r w:rsidRPr="003F5F8A">
        <w:rPr>
          <w:u w:val="single"/>
        </w:rPr>
        <w:t>Standard User</w:t>
      </w:r>
      <w:r w:rsidRPr="003F5F8A">
        <w:t xml:space="preserve">: manual creation and search services for lower volume users, using </w:t>
      </w:r>
      <w:hyperlink r:id="rId24" w:history="1">
        <w:r w:rsidRPr="003F5F8A">
          <w:rPr>
            <w:rStyle w:val="Hyperlink"/>
          </w:rPr>
          <w:t>a web-front end</w:t>
        </w:r>
      </w:hyperlink>
      <w:r w:rsidRPr="003F5F8A">
        <w:t xml:space="preserve"> (paid usage) </w:t>
      </w:r>
    </w:p>
    <w:p w14:paraId="48CFD301" w14:textId="77777777" w:rsidR="00185AC3" w:rsidRPr="003F5F8A" w:rsidRDefault="00185AC3" w:rsidP="0087769A">
      <w:pPr>
        <w:pStyle w:val="ListParagraph"/>
        <w:numPr>
          <w:ilvl w:val="0"/>
          <w:numId w:val="8"/>
        </w:numPr>
        <w:spacing w:after="360" w:line="276" w:lineRule="auto"/>
        <w:jc w:val="both"/>
      </w:pPr>
      <w:r w:rsidRPr="003F5F8A">
        <w:rPr>
          <w:u w:val="single"/>
        </w:rPr>
        <w:t>Infrequent User</w:t>
      </w:r>
      <w:r w:rsidRPr="003F5F8A">
        <w:t xml:space="preserve">: manual creation and limited search services using </w:t>
      </w:r>
      <w:hyperlink r:id="rId25" w:history="1">
        <w:r w:rsidRPr="003F5F8A">
          <w:rPr>
            <w:rStyle w:val="Hyperlink"/>
          </w:rPr>
          <w:t>a web-front end</w:t>
        </w:r>
      </w:hyperlink>
      <w:r w:rsidRPr="003F5F8A">
        <w:rPr>
          <w:rStyle w:val="Hyperlink"/>
        </w:rPr>
        <w:t xml:space="preserve"> </w:t>
      </w:r>
      <w:r w:rsidRPr="003F5F8A">
        <w:t>– targeted towards very low volume users, with a limit on the number of search results returned and an unlimited number of searches</w:t>
      </w:r>
      <w:r w:rsidRPr="003F5F8A">
        <w:rPr>
          <w:rStyle w:val="FootnoteReference"/>
        </w:rPr>
        <w:footnoteReference w:id="32"/>
      </w:r>
      <w:r w:rsidRPr="003F5F8A">
        <w:t xml:space="preserve"> (paid usage) </w:t>
      </w:r>
    </w:p>
    <w:p w14:paraId="67DEBAE8" w14:textId="77777777" w:rsidR="00185AC3" w:rsidRPr="003F5F8A" w:rsidRDefault="00185AC3" w:rsidP="00641886">
      <w:pPr>
        <w:pStyle w:val="ListParagraph"/>
        <w:numPr>
          <w:ilvl w:val="0"/>
          <w:numId w:val="8"/>
        </w:numPr>
        <w:spacing w:after="120" w:line="276" w:lineRule="auto"/>
        <w:ind w:left="714" w:hanging="357"/>
        <w:contextualSpacing w:val="0"/>
        <w:jc w:val="both"/>
      </w:pPr>
      <w:r w:rsidRPr="003F5F8A">
        <w:rPr>
          <w:u w:val="single"/>
        </w:rPr>
        <w:lastRenderedPageBreak/>
        <w:t>Registered User</w:t>
      </w:r>
      <w:r w:rsidRPr="003F5F8A">
        <w:t xml:space="preserve">: manual search services using </w:t>
      </w:r>
      <w:hyperlink r:id="rId26" w:history="1">
        <w:r w:rsidRPr="003F5F8A">
          <w:rPr>
            <w:rStyle w:val="Hyperlink"/>
          </w:rPr>
          <w:t>a web-front end</w:t>
        </w:r>
      </w:hyperlink>
      <w:r w:rsidRPr="003F5F8A">
        <w:t xml:space="preserve">, with a limit on the number of search results returned and an unlimited number of searches (free to use) </w:t>
      </w:r>
    </w:p>
    <w:p w14:paraId="7D31C16E" w14:textId="5B960249" w:rsidR="00421A87" w:rsidRDefault="000039D6" w:rsidP="0063726C">
      <w:pPr>
        <w:spacing w:after="120" w:line="276" w:lineRule="auto"/>
        <w:jc w:val="both"/>
        <w:rPr>
          <w:rStyle w:val="normaltextrun"/>
          <w:rFonts w:cstheme="minorHAnsi"/>
          <w:bCs/>
          <w:color w:val="000000"/>
        </w:rPr>
      </w:pPr>
      <w:r>
        <w:t xml:space="preserve">Irrespective of </w:t>
      </w:r>
      <w:r w:rsidR="00421A87">
        <w:rPr>
          <w:rStyle w:val="normaltextrun"/>
          <w:rFonts w:cstheme="minorHAnsi"/>
          <w:bCs/>
          <w:color w:val="000000"/>
        </w:rPr>
        <w:t xml:space="preserve">user type, all DSB users </w:t>
      </w:r>
      <w:r w:rsidR="00DB6FBB">
        <w:rPr>
          <w:rStyle w:val="normaltextrun"/>
          <w:rFonts w:cstheme="minorHAnsi"/>
          <w:bCs/>
          <w:color w:val="000000"/>
        </w:rPr>
        <w:t>can</w:t>
      </w:r>
      <w:r w:rsidR="00421A87">
        <w:rPr>
          <w:rStyle w:val="normaltextrun"/>
          <w:rFonts w:cstheme="minorHAnsi"/>
          <w:bCs/>
          <w:color w:val="000000"/>
        </w:rPr>
        <w:t xml:space="preserve"> search for OTC derivative data in near real-time by logging on to the DSB’s web front end, conducting a manual search, and downloading the specific record of interest in machine readable format. Market participants are also able to obtain the OTC derivative identifier from their counterparty</w:t>
      </w:r>
      <w:r w:rsidR="00011B18">
        <w:rPr>
          <w:rStyle w:val="normaltextrun"/>
          <w:rFonts w:cstheme="minorHAnsi"/>
          <w:bCs/>
          <w:color w:val="000000"/>
        </w:rPr>
        <w:t>, or from their trade execution platform and use the identifier as part of their</w:t>
      </w:r>
      <w:r w:rsidR="0063726C">
        <w:rPr>
          <w:rStyle w:val="normaltextrun"/>
          <w:rFonts w:cstheme="minorHAnsi"/>
          <w:bCs/>
          <w:color w:val="000000"/>
        </w:rPr>
        <w:t xml:space="preserve"> trading workflows. </w:t>
      </w:r>
      <w:r w:rsidR="00011B18">
        <w:rPr>
          <w:rStyle w:val="normaltextrun"/>
          <w:rFonts w:cstheme="minorHAnsi"/>
          <w:bCs/>
          <w:color w:val="000000"/>
        </w:rPr>
        <w:t xml:space="preserve"> </w:t>
      </w:r>
    </w:p>
    <w:p w14:paraId="16686F65" w14:textId="77777777" w:rsidR="00A61F76" w:rsidRDefault="00A61F76" w:rsidP="00A61F76">
      <w:pPr>
        <w:spacing w:after="120" w:line="276" w:lineRule="auto"/>
        <w:jc w:val="both"/>
      </w:pPr>
      <w:r w:rsidRPr="003F5F8A">
        <w:t xml:space="preserve">In addition, to the </w:t>
      </w:r>
      <w:r>
        <w:t xml:space="preserve">user </w:t>
      </w:r>
      <w:r w:rsidRPr="003F5F8A">
        <w:t xml:space="preserve">services listed above, all DSB users of the CFI, FISN and OTC ISIN service </w:t>
      </w:r>
      <w:proofErr w:type="gramStart"/>
      <w:r w:rsidRPr="003F5F8A">
        <w:t>are able to</w:t>
      </w:r>
      <w:proofErr w:type="gramEnd"/>
      <w:r w:rsidRPr="003F5F8A">
        <w:t xml:space="preserve"> download machine readable records and have free o</w:t>
      </w:r>
      <w:r w:rsidRPr="009F5C43">
        <w:t>f cost access to (London) end of day files containing a list of all new OTC ISIN records created or updated tha</w:t>
      </w:r>
      <w:r w:rsidRPr="00B56B63">
        <w:t>t day.</w:t>
      </w:r>
      <w:r>
        <w:t xml:space="preserve"> </w:t>
      </w:r>
    </w:p>
    <w:p w14:paraId="66B5458C" w14:textId="01BAFABC" w:rsidR="00185AC3" w:rsidRPr="003F5F8A" w:rsidRDefault="00185AC3" w:rsidP="00641886">
      <w:pPr>
        <w:pStyle w:val="paragraph"/>
        <w:spacing w:before="0" w:beforeAutospacing="0" w:after="120" w:afterAutospacing="0" w:line="276" w:lineRule="auto"/>
        <w:jc w:val="both"/>
        <w:textAlignment w:val="baseline"/>
        <w:rPr>
          <w:rStyle w:val="normaltextrun"/>
          <w:rFonts w:asciiTheme="minorHAnsi" w:hAnsiTheme="minorHAnsi" w:cstheme="minorHAnsi"/>
          <w:bCs/>
          <w:color w:val="000000"/>
          <w:sz w:val="22"/>
          <w:szCs w:val="22"/>
        </w:rPr>
      </w:pPr>
      <w:r w:rsidRPr="003F5F8A">
        <w:rPr>
          <w:rStyle w:val="normaltextrun"/>
          <w:rFonts w:asciiTheme="minorHAnsi" w:hAnsiTheme="minorHAnsi" w:cstheme="minorHAnsi"/>
          <w:bCs/>
          <w:color w:val="000000"/>
          <w:sz w:val="22"/>
          <w:szCs w:val="22"/>
        </w:rPr>
        <w:t xml:space="preserve">Following </w:t>
      </w:r>
      <w:r w:rsidR="00325C93">
        <w:rPr>
          <w:rStyle w:val="normaltextrun"/>
          <w:rFonts w:asciiTheme="minorHAnsi" w:hAnsiTheme="minorHAnsi" w:cstheme="minorHAnsi"/>
          <w:bCs/>
          <w:color w:val="000000"/>
          <w:sz w:val="22"/>
          <w:szCs w:val="22"/>
        </w:rPr>
        <w:t xml:space="preserve">DSB </w:t>
      </w:r>
      <w:r w:rsidRPr="003F5F8A">
        <w:rPr>
          <w:rStyle w:val="normaltextrun"/>
          <w:rFonts w:asciiTheme="minorHAnsi" w:hAnsiTheme="minorHAnsi" w:cstheme="minorHAnsi"/>
          <w:bCs/>
          <w:color w:val="000000"/>
          <w:sz w:val="22"/>
          <w:szCs w:val="22"/>
        </w:rPr>
        <w:t xml:space="preserve">user feedback in response to the </w:t>
      </w:r>
      <w:r w:rsidR="00325C93">
        <w:rPr>
          <w:rStyle w:val="normaltextrun"/>
          <w:rFonts w:asciiTheme="minorHAnsi" w:hAnsiTheme="minorHAnsi" w:cstheme="minorHAnsi"/>
          <w:bCs/>
          <w:color w:val="000000"/>
          <w:sz w:val="22"/>
          <w:szCs w:val="22"/>
        </w:rPr>
        <w:t xml:space="preserve">OTC ISIN service </w:t>
      </w:r>
      <w:r w:rsidRPr="003F5F8A">
        <w:rPr>
          <w:rStyle w:val="normaltextrun"/>
          <w:rFonts w:asciiTheme="minorHAnsi" w:hAnsiTheme="minorHAnsi" w:cstheme="minorHAnsi"/>
          <w:bCs/>
          <w:color w:val="000000"/>
          <w:sz w:val="22"/>
          <w:szCs w:val="22"/>
        </w:rPr>
        <w:t>industry consultation conducted in 2020</w:t>
      </w:r>
      <w:r w:rsidR="001A2D6F">
        <w:rPr>
          <w:rStyle w:val="FootnoteReference"/>
          <w:rFonts w:asciiTheme="minorHAnsi" w:hAnsiTheme="minorHAnsi" w:cstheme="minorHAnsi"/>
          <w:bCs/>
          <w:color w:val="000000"/>
          <w:sz w:val="22"/>
          <w:szCs w:val="22"/>
        </w:rPr>
        <w:footnoteReference w:id="33"/>
      </w:r>
      <w:r w:rsidRPr="003F5F8A">
        <w:rPr>
          <w:rStyle w:val="normaltextrun"/>
          <w:rFonts w:asciiTheme="minorHAnsi" w:hAnsiTheme="minorHAnsi" w:cstheme="minorHAnsi"/>
          <w:bCs/>
          <w:color w:val="000000"/>
          <w:sz w:val="22"/>
          <w:szCs w:val="22"/>
        </w:rPr>
        <w:t>, t</w:t>
      </w:r>
      <w:r w:rsidRPr="00B56B63">
        <w:rPr>
          <w:rStyle w:val="normaltextrun"/>
          <w:rFonts w:asciiTheme="minorHAnsi" w:hAnsiTheme="minorHAnsi" w:cstheme="minorHAnsi"/>
          <w:bCs/>
          <w:color w:val="000000"/>
          <w:sz w:val="22"/>
          <w:szCs w:val="22"/>
        </w:rPr>
        <w:t xml:space="preserve">he DSB will also be introducing two additional user services in 2021, the search-only Application Programming Interface (API) user to enable lower volume users requiring systematic access </w:t>
      </w:r>
      <w:r w:rsidR="00325C93">
        <w:rPr>
          <w:rStyle w:val="normaltextrun"/>
          <w:rFonts w:asciiTheme="minorHAnsi" w:hAnsiTheme="minorHAnsi" w:cstheme="minorHAnsi"/>
          <w:bCs/>
          <w:color w:val="000000"/>
          <w:sz w:val="22"/>
          <w:szCs w:val="22"/>
        </w:rPr>
        <w:t xml:space="preserve">for search-only </w:t>
      </w:r>
      <w:r w:rsidRPr="00B56B63">
        <w:rPr>
          <w:rStyle w:val="normaltextrun"/>
          <w:rFonts w:asciiTheme="minorHAnsi" w:hAnsiTheme="minorHAnsi" w:cstheme="minorHAnsi"/>
          <w:bCs/>
          <w:color w:val="000000"/>
          <w:sz w:val="22"/>
          <w:szCs w:val="22"/>
        </w:rPr>
        <w:t xml:space="preserve">on a paid basis, and a snapshot user where an existing user of the DSB can request access to stand-alone data snapshots for any/all asset classes over a specified time horizon to mitigate any internal technology constraints in downloading and consolidating the data.  </w:t>
      </w:r>
    </w:p>
    <w:p w14:paraId="736984F1" w14:textId="77777777" w:rsidR="00185AC3" w:rsidRPr="00B56B63" w:rsidRDefault="00185AC3" w:rsidP="0087769A">
      <w:pPr>
        <w:spacing w:after="120" w:line="276" w:lineRule="auto"/>
        <w:jc w:val="both"/>
      </w:pPr>
      <w:r w:rsidRPr="00B56B63">
        <w:t xml:space="preserve">The DSB’s TAC set up a TAC Strategy Sub-Committee (TAC SSC) which reviews workflow and infrastructure related elements of the DSB’s UPI implementation. The TAC SSC (which is comprised of both DSB and external stakeholders) has produced an interim report that made recommendations to the broader TAC on a range of UPI technology integration related topics, to enable broader discussion of the subject. </w:t>
      </w:r>
    </w:p>
    <w:p w14:paraId="321DFE33" w14:textId="606A46B4" w:rsidR="00185AC3" w:rsidRPr="00B56B63" w:rsidRDefault="00185AC3" w:rsidP="0087769A">
      <w:pPr>
        <w:spacing w:after="120" w:line="276" w:lineRule="auto"/>
        <w:jc w:val="both"/>
      </w:pPr>
      <w:r w:rsidRPr="00B56B63">
        <w:t xml:space="preserve">The interim report and associated proposals and assumptions will be discussed at a series of TAC SSC meetings in 2021, </w:t>
      </w:r>
      <w:r w:rsidR="0053666B" w:rsidRPr="00B56B63">
        <w:t>to</w:t>
      </w:r>
      <w:r w:rsidRPr="00B56B63">
        <w:t xml:space="preserve"> enable the TAC SSC membership to review progress with respect to the findings of the interim report, the assumptions, </w:t>
      </w:r>
      <w:r w:rsidR="0053666B" w:rsidRPr="00B56B63">
        <w:t>recommendations,</w:t>
      </w:r>
      <w:r w:rsidRPr="00B56B63">
        <w:t xml:space="preserve"> and questions that were raised in the document. The findings of the TAC SSC will be presented to the broader TAC and the final recommendations and any associated cost implications will be taken forward for review by the DSB Board for final review and decision making. </w:t>
      </w:r>
    </w:p>
    <w:p w14:paraId="43ADACB0" w14:textId="372AA1CE" w:rsidR="00185AC3" w:rsidRPr="00B56B63" w:rsidRDefault="00185AC3" w:rsidP="0087769A">
      <w:pPr>
        <w:spacing w:after="120" w:line="276" w:lineRule="auto"/>
        <w:jc w:val="both"/>
      </w:pPr>
      <w:r w:rsidRPr="00B56B63">
        <w:t xml:space="preserve">The DSB serves 70% of its users at no charge, and the remainder on a cost recovery basis, with user </w:t>
      </w:r>
      <w:r w:rsidR="00616151">
        <w:t xml:space="preserve">numbers </w:t>
      </w:r>
      <w:r w:rsidRPr="00B56B63">
        <w:t xml:space="preserve">having direct input into the primary fee variables. All DSB users </w:t>
      </w:r>
      <w:r w:rsidR="0053666B" w:rsidRPr="00B56B63">
        <w:t>can</w:t>
      </w:r>
      <w:r w:rsidRPr="00B56B63">
        <w:t xml:space="preserve"> contribute directly to the service evolution via both an annual consultation process and two industry driven user forums – the PC and TAC. </w:t>
      </w:r>
    </w:p>
    <w:p w14:paraId="78C6C4AF" w14:textId="3A09C584" w:rsidR="00185AC3" w:rsidRPr="00B56B63" w:rsidRDefault="00185AC3" w:rsidP="0087769A">
      <w:pPr>
        <w:spacing w:after="120" w:line="276" w:lineRule="auto"/>
        <w:jc w:val="both"/>
      </w:pPr>
      <w:r w:rsidRPr="00B56B63">
        <w:t xml:space="preserve">DSB users </w:t>
      </w:r>
      <w:r w:rsidR="0053666B" w:rsidRPr="00B56B63">
        <w:t>can</w:t>
      </w:r>
      <w:r w:rsidRPr="00B56B63">
        <w:t xml:space="preserve"> obtain the required OTC derivative identifier via several channels and use the record as part of their trade workflow, with more sophisticated users obtaining data via several means and others focusing on a single channel as best suited to the organization’s commercial, </w:t>
      </w:r>
      <w:proofErr w:type="gramStart"/>
      <w:r w:rsidRPr="00B56B63">
        <w:t>strategic</w:t>
      </w:r>
      <w:proofErr w:type="gramEnd"/>
      <w:r w:rsidRPr="00B56B63">
        <w:t xml:space="preserve"> and tactical needs. </w:t>
      </w:r>
    </w:p>
    <w:p w14:paraId="7C746B3A" w14:textId="55D3B039" w:rsidR="00185AC3" w:rsidRPr="00B56B63" w:rsidRDefault="00185AC3" w:rsidP="0087769A">
      <w:pPr>
        <w:spacing w:after="120" w:line="276" w:lineRule="auto"/>
        <w:jc w:val="both"/>
      </w:pPr>
      <w:r w:rsidRPr="00B56B63">
        <w:t xml:space="preserve">Some ways in which users </w:t>
      </w:r>
      <w:r w:rsidR="000D43C4">
        <w:t>will</w:t>
      </w:r>
      <w:r w:rsidR="000D43C4" w:rsidRPr="00B56B63">
        <w:t xml:space="preserve"> </w:t>
      </w:r>
      <w:r w:rsidRPr="00B56B63">
        <w:t xml:space="preserve">obtain the OTC derivative CFI, UPI and/or OTC ISIN include: </w:t>
      </w:r>
    </w:p>
    <w:p w14:paraId="19428171" w14:textId="77777777" w:rsidR="00185AC3" w:rsidRPr="003F5F8A" w:rsidRDefault="00185AC3" w:rsidP="0087769A">
      <w:pPr>
        <w:pStyle w:val="ListParagraph"/>
        <w:numPr>
          <w:ilvl w:val="0"/>
          <w:numId w:val="8"/>
        </w:numPr>
        <w:autoSpaceDE w:val="0"/>
        <w:autoSpaceDN w:val="0"/>
        <w:adjustRightInd w:val="0"/>
        <w:spacing w:before="120" w:after="120" w:line="276" w:lineRule="auto"/>
        <w:ind w:right="115"/>
        <w:contextualSpacing w:val="0"/>
        <w:jc w:val="both"/>
      </w:pPr>
      <w:r w:rsidRPr="003F5F8A">
        <w:t>from their counterparty</w:t>
      </w:r>
    </w:p>
    <w:p w14:paraId="276C78C9" w14:textId="77777777" w:rsidR="00185AC3" w:rsidRPr="003F5F8A" w:rsidRDefault="00185AC3" w:rsidP="0087769A">
      <w:pPr>
        <w:pStyle w:val="ListParagraph"/>
        <w:numPr>
          <w:ilvl w:val="0"/>
          <w:numId w:val="8"/>
        </w:numPr>
        <w:autoSpaceDE w:val="0"/>
        <w:autoSpaceDN w:val="0"/>
        <w:adjustRightInd w:val="0"/>
        <w:spacing w:before="120" w:after="120" w:line="276" w:lineRule="auto"/>
        <w:ind w:right="115"/>
        <w:contextualSpacing w:val="0"/>
        <w:jc w:val="both"/>
      </w:pPr>
      <w:r w:rsidRPr="003F5F8A">
        <w:t xml:space="preserve">from the execution platform on which the trade was done </w:t>
      </w:r>
    </w:p>
    <w:p w14:paraId="07627B5C" w14:textId="351C5080" w:rsidR="00185AC3" w:rsidRPr="003F5F8A" w:rsidRDefault="00185AC3" w:rsidP="0087769A">
      <w:pPr>
        <w:pStyle w:val="ListParagraph"/>
        <w:numPr>
          <w:ilvl w:val="0"/>
          <w:numId w:val="8"/>
        </w:numPr>
        <w:autoSpaceDE w:val="0"/>
        <w:autoSpaceDN w:val="0"/>
        <w:adjustRightInd w:val="0"/>
        <w:spacing w:before="120" w:after="120" w:line="276" w:lineRule="auto"/>
        <w:ind w:right="115"/>
        <w:contextualSpacing w:val="0"/>
        <w:jc w:val="both"/>
      </w:pPr>
      <w:r w:rsidRPr="003F5F8A">
        <w:t xml:space="preserve">connect directly to the DSB (via an </w:t>
      </w:r>
      <w:r w:rsidR="000D43C4">
        <w:t>A</w:t>
      </w:r>
      <w:r w:rsidR="000D43C4" w:rsidRPr="003F5F8A">
        <w:t>PI</w:t>
      </w:r>
      <w:r w:rsidRPr="003F5F8A">
        <w:t xml:space="preserve">, the web-front end, or download data) </w:t>
      </w:r>
    </w:p>
    <w:p w14:paraId="68231EB5" w14:textId="77777777" w:rsidR="00185AC3" w:rsidRPr="003F5F8A" w:rsidRDefault="00185AC3" w:rsidP="0087769A">
      <w:pPr>
        <w:pStyle w:val="ListParagraph"/>
        <w:numPr>
          <w:ilvl w:val="0"/>
          <w:numId w:val="8"/>
        </w:numPr>
        <w:autoSpaceDE w:val="0"/>
        <w:autoSpaceDN w:val="0"/>
        <w:adjustRightInd w:val="0"/>
        <w:spacing w:before="120" w:after="120" w:line="276" w:lineRule="auto"/>
        <w:ind w:right="115"/>
        <w:contextualSpacing w:val="0"/>
        <w:jc w:val="both"/>
      </w:pPr>
      <w:r w:rsidRPr="003F5F8A">
        <w:lastRenderedPageBreak/>
        <w:t xml:space="preserve">from an intermediary – either a data or technology vendor </w:t>
      </w:r>
    </w:p>
    <w:p w14:paraId="265DFEFD" w14:textId="398A4D40" w:rsidR="00185AC3" w:rsidRPr="00B56B63" w:rsidRDefault="00185AC3" w:rsidP="0087769A">
      <w:pPr>
        <w:spacing w:line="276" w:lineRule="auto"/>
      </w:pPr>
      <w:r w:rsidRPr="003F5F8A">
        <w:t xml:space="preserve">Experience with the OTC ISIN thus far indicates that many users have over time sought to connect directly to the DSB to supplement their reference data workflows for </w:t>
      </w:r>
      <w:r w:rsidR="00E8343F" w:rsidRPr="003F5F8A">
        <w:t>a variety</w:t>
      </w:r>
      <w:r w:rsidRPr="003F5F8A">
        <w:t xml:space="preserve"> of reasons, which include </w:t>
      </w:r>
      <w:r w:rsidRPr="009F5C43">
        <w:t xml:space="preserve">but are not </w:t>
      </w:r>
      <w:r w:rsidRPr="00B56B63">
        <w:t xml:space="preserve">limited to timeliness, efficiency, cost, etc. </w:t>
      </w:r>
    </w:p>
    <w:p w14:paraId="7F0C05B3" w14:textId="77777777" w:rsidR="00185AC3" w:rsidRPr="003F5F8A" w:rsidRDefault="00185AC3" w:rsidP="0087769A">
      <w:pPr>
        <w:spacing w:after="360" w:line="276" w:lineRule="auto"/>
        <w:jc w:val="both"/>
      </w:pPr>
      <w:r w:rsidRPr="00B56B63">
        <w:t xml:space="preserve">Given the synergies between the DSB’s existing service and the forthcoming UPI service, leveraging the existing </w:t>
      </w:r>
      <w:r w:rsidRPr="00B56B63">
        <w:rPr>
          <w:rStyle w:val="normaltextrun"/>
          <w:rFonts w:ascii="Calibri" w:hAnsi="Calibri" w:cs="Calibri"/>
          <w:color w:val="000000" w:themeColor="text1"/>
        </w:rPr>
        <w:t xml:space="preserve">staff, systems and processes </w:t>
      </w:r>
      <w:r w:rsidRPr="00B56B63">
        <w:t>as far as practicable, allows for strong application of the Lean governance criteria,</w:t>
      </w:r>
      <w:r w:rsidRPr="00B56B63">
        <w:rPr>
          <w:rStyle w:val="normaltextrun"/>
          <w:rFonts w:ascii="Calibri" w:hAnsi="Calibri" w:cs="Calibri"/>
          <w:color w:val="000000"/>
        </w:rPr>
        <w:t xml:space="preserve"> described in section </w:t>
      </w:r>
      <w:r w:rsidRPr="003F5F8A">
        <w:rPr>
          <w:rStyle w:val="normaltextrun"/>
          <w:rFonts w:ascii="Calibri" w:hAnsi="Calibri" w:cs="Calibri"/>
          <w:i/>
          <w:color w:val="000000"/>
        </w:rPr>
        <w:fldChar w:fldCharType="begin"/>
      </w:r>
      <w:r w:rsidRPr="00B56B63">
        <w:rPr>
          <w:rStyle w:val="normaltextrun"/>
          <w:rFonts w:ascii="Calibri" w:hAnsi="Calibri" w:cs="Calibri"/>
          <w:i/>
          <w:color w:val="000000"/>
        </w:rPr>
        <w:instrText xml:space="preserve"> REF _Ref58234110 \r \h  \* MERGEFORMAT </w:instrText>
      </w:r>
      <w:r w:rsidRPr="003F5F8A">
        <w:rPr>
          <w:rStyle w:val="normaltextrun"/>
          <w:rFonts w:ascii="Calibri" w:hAnsi="Calibri" w:cs="Calibri"/>
          <w:i/>
          <w:color w:val="000000"/>
        </w:rPr>
      </w:r>
      <w:r w:rsidRPr="003F5F8A">
        <w:rPr>
          <w:rStyle w:val="normaltextrun"/>
          <w:rFonts w:ascii="Calibri" w:hAnsi="Calibri" w:cs="Calibri"/>
          <w:i/>
          <w:color w:val="000000"/>
        </w:rPr>
        <w:fldChar w:fldCharType="separate"/>
      </w:r>
      <w:r w:rsidRPr="003F5F8A">
        <w:rPr>
          <w:rStyle w:val="normaltextrun"/>
          <w:rFonts w:ascii="Calibri" w:hAnsi="Calibri" w:cs="Calibri"/>
          <w:i/>
          <w:color w:val="000000"/>
        </w:rPr>
        <w:t>3.2.2</w:t>
      </w:r>
      <w:r w:rsidRPr="003F5F8A">
        <w:rPr>
          <w:rStyle w:val="normaltextrun"/>
          <w:rFonts w:ascii="Calibri" w:hAnsi="Calibri" w:cs="Calibri"/>
          <w:i/>
          <w:color w:val="000000"/>
        </w:rPr>
        <w:fldChar w:fldCharType="end"/>
      </w:r>
      <w:r w:rsidRPr="003F5F8A">
        <w:rPr>
          <w:rStyle w:val="normaltextrun"/>
          <w:rFonts w:ascii="Calibri" w:hAnsi="Calibri" w:cs="Calibri"/>
          <w:i/>
          <w:iCs/>
          <w:color w:val="000000"/>
        </w:rPr>
        <w:t xml:space="preserve"> </w:t>
      </w:r>
      <w:r w:rsidRPr="003F5F8A">
        <w:rPr>
          <w:rStyle w:val="normaltextrun"/>
          <w:rFonts w:ascii="Calibri" w:hAnsi="Calibri" w:cs="Calibri"/>
          <w:i/>
          <w:color w:val="000000"/>
        </w:rPr>
        <w:fldChar w:fldCharType="begin"/>
      </w:r>
      <w:r w:rsidRPr="00B56B63">
        <w:rPr>
          <w:rStyle w:val="normaltextrun"/>
          <w:rFonts w:ascii="Calibri" w:hAnsi="Calibri" w:cs="Calibri"/>
          <w:i/>
          <w:color w:val="000000"/>
        </w:rPr>
        <w:instrText xml:space="preserve"> REF _Ref58234123 \h  \* MERGEFORMAT </w:instrText>
      </w:r>
      <w:r w:rsidRPr="003F5F8A">
        <w:rPr>
          <w:rStyle w:val="normaltextrun"/>
          <w:rFonts w:ascii="Calibri" w:hAnsi="Calibri" w:cs="Calibri"/>
          <w:i/>
          <w:color w:val="000000"/>
        </w:rPr>
      </w:r>
      <w:r w:rsidRPr="003F5F8A">
        <w:rPr>
          <w:rStyle w:val="normaltextrun"/>
          <w:rFonts w:ascii="Calibri" w:hAnsi="Calibri" w:cs="Calibri"/>
          <w:i/>
          <w:color w:val="000000"/>
        </w:rPr>
        <w:fldChar w:fldCharType="separate"/>
      </w:r>
      <w:r w:rsidRPr="003F5F8A">
        <w:rPr>
          <w:i/>
          <w:iCs/>
        </w:rPr>
        <w:t>UPI Governance Criteria</w:t>
      </w:r>
      <w:r w:rsidRPr="003F5F8A">
        <w:rPr>
          <w:rStyle w:val="normaltextrun"/>
          <w:rFonts w:ascii="Calibri" w:hAnsi="Calibri" w:cs="Calibri"/>
          <w:i/>
          <w:color w:val="000000"/>
        </w:rPr>
        <w:fldChar w:fldCharType="end"/>
      </w:r>
      <w:r w:rsidRPr="003F5F8A">
        <w:t>.</w:t>
      </w:r>
    </w:p>
    <w:p w14:paraId="0B43A369" w14:textId="77777777" w:rsidR="00185AC3" w:rsidRPr="00BE4D05" w:rsidRDefault="00185AC3" w:rsidP="0048715D">
      <w:pPr>
        <w:pStyle w:val="Heading2"/>
        <w:spacing w:before="0" w:line="276" w:lineRule="auto"/>
        <w:jc w:val="both"/>
      </w:pPr>
      <w:bookmarkStart w:id="79" w:name="_Toc60651769"/>
      <w:bookmarkStart w:id="80" w:name="_Toc61255924"/>
      <w:r>
        <w:t>Alignment of the UPI with ot</w:t>
      </w:r>
      <w:r w:rsidRPr="00BE4D05">
        <w:t xml:space="preserve">her </w:t>
      </w:r>
      <w:r>
        <w:t>internationally recognised data standards</w:t>
      </w:r>
      <w:bookmarkEnd w:id="79"/>
      <w:bookmarkEnd w:id="80"/>
      <w:r>
        <w:t xml:space="preserve">  </w:t>
      </w:r>
    </w:p>
    <w:p w14:paraId="3CE09E87" w14:textId="550DFC56" w:rsidR="00185AC3" w:rsidRDefault="00185AC3" w:rsidP="0087769A">
      <w:pPr>
        <w:spacing w:line="276" w:lineRule="auto"/>
        <w:jc w:val="both"/>
      </w:pPr>
      <w:r>
        <w:t xml:space="preserve">The aim of seeking alignment is to allow both the DSB and DSB users to </w:t>
      </w:r>
      <w:r w:rsidR="00E8343F">
        <w:t>maintain a clear data hierarchy when utilizing each of the CFI, UPI, OTC ISIN, and FISN more easily and consistently</w:t>
      </w:r>
      <w:r>
        <w:t xml:space="preserve">. </w:t>
      </w:r>
    </w:p>
    <w:p w14:paraId="102E8167" w14:textId="5875198D" w:rsidR="00185AC3" w:rsidRDefault="00185AC3" w:rsidP="0087769A">
      <w:pPr>
        <w:spacing w:line="276" w:lineRule="auto"/>
        <w:jc w:val="both"/>
      </w:pPr>
      <w:r>
        <w:t xml:space="preserve">The DSB is responsible for serving the needs of OTC derivatives market participants through the allocation and distribution of </w:t>
      </w:r>
      <w:r w:rsidR="00C70CFF">
        <w:t xml:space="preserve">OTC </w:t>
      </w:r>
      <w:r>
        <w:t xml:space="preserve">ISINs, the CFI code, and the FISN – all globally recognised and adopted ISO standards. Each standard has an individual purpose and complements each of the other standards. They are each respectively used for identifying, </w:t>
      </w:r>
      <w:r w:rsidR="0053666B">
        <w:t>classifying,</w:t>
      </w:r>
      <w:r>
        <w:t xml:space="preserve"> and describing financial instruments. </w:t>
      </w:r>
    </w:p>
    <w:p w14:paraId="63271685" w14:textId="77777777" w:rsidR="00185AC3" w:rsidRDefault="00185AC3" w:rsidP="0087769A">
      <w:pPr>
        <w:spacing w:line="276" w:lineRule="auto"/>
        <w:jc w:val="both"/>
      </w:pPr>
      <w:r w:rsidRPr="00DC41D1">
        <w:t>The UPI, currently being developed as an ISO standard (ISO/WD 4914), will sit within the suite of ISO standards provided by the DSB as a product level identifier, reflecting a subset of the data elements required for OTC ISIN</w:t>
      </w:r>
      <w:r>
        <w:t xml:space="preserve">. </w:t>
      </w:r>
      <w:r w:rsidRPr="00DC41D1">
        <w:t>This means the UPI is anticipated to sit between the CFI and OTC ISIN representing an identification framework for OTC derivatives</w:t>
      </w:r>
      <w:r>
        <w:t xml:space="preserve">. </w:t>
      </w:r>
    </w:p>
    <w:p w14:paraId="6D97DECE" w14:textId="77777777" w:rsidR="00185AC3" w:rsidRPr="009204CF" w:rsidRDefault="00185AC3" w:rsidP="0087769A">
      <w:pPr>
        <w:spacing w:line="276" w:lineRule="auto"/>
        <w:jc w:val="both"/>
      </w:pPr>
      <w:r w:rsidRPr="009204CF">
        <w:t>The UPI must</w:t>
      </w:r>
      <w:r>
        <w:t xml:space="preserve"> therefore</w:t>
      </w:r>
      <w:r w:rsidRPr="009204CF">
        <w:t xml:space="preserve"> be fully consistent with the principles set out in the UPI Technical Guidance, which sets out technical requirements for a UPI Code and related reference data, and any further guidance provided by CPMI</w:t>
      </w:r>
      <w:r>
        <w:t xml:space="preserve"> and </w:t>
      </w:r>
      <w:r w:rsidRPr="009204CF">
        <w:t>IOSCO, or the FSB</w:t>
      </w:r>
      <w:r>
        <w:t xml:space="preserve">.  </w:t>
      </w:r>
    </w:p>
    <w:p w14:paraId="764B73A7" w14:textId="77777777" w:rsidR="00185AC3" w:rsidRDefault="00185AC3" w:rsidP="0087769A">
      <w:pPr>
        <w:spacing w:line="276" w:lineRule="auto"/>
        <w:jc w:val="both"/>
      </w:pPr>
      <w:r>
        <w:t xml:space="preserve">A key </w:t>
      </w:r>
      <w:r w:rsidRPr="009204CF">
        <w:t xml:space="preserve">assumption is </w:t>
      </w:r>
      <w:r>
        <w:t xml:space="preserve">therefore </w:t>
      </w:r>
      <w:r w:rsidRPr="009204CF">
        <w:t xml:space="preserve">that the data elements contained in each of the CFI, UPI, and </w:t>
      </w:r>
      <w:r>
        <w:t xml:space="preserve">OTC </w:t>
      </w:r>
      <w:r w:rsidRPr="009204CF">
        <w:t>ISIN will remain aligned</w:t>
      </w:r>
      <w:r>
        <w:t xml:space="preserve">. </w:t>
      </w:r>
      <w:r w:rsidRPr="009204CF">
        <w:t xml:space="preserve">The PC will work with the </w:t>
      </w:r>
      <w:r>
        <w:t>ROC</w:t>
      </w:r>
      <w:r w:rsidRPr="009204CF">
        <w:t xml:space="preserve"> to resolve any concerns with respect to alignment of the CFI, </w:t>
      </w:r>
      <w:proofErr w:type="gramStart"/>
      <w:r w:rsidRPr="009204CF">
        <w:t>UPI</w:t>
      </w:r>
      <w:proofErr w:type="gramEnd"/>
      <w:r w:rsidRPr="009204CF">
        <w:t xml:space="preserve"> and OTC ISIN</w:t>
      </w:r>
      <w:r>
        <w:t xml:space="preserve">. An overview of the expected alignment of each is set out below. </w:t>
      </w:r>
    </w:p>
    <w:p w14:paraId="47A0C062" w14:textId="77777777" w:rsidR="00185AC3" w:rsidRDefault="00185AC3" w:rsidP="0087769A">
      <w:pPr>
        <w:spacing w:line="276" w:lineRule="auto"/>
        <w:jc w:val="both"/>
      </w:pPr>
      <w:r>
        <w:t xml:space="preserve">Note (a) that the CFI and ISIN exist for both OTC derivatives and other types of financial instruments, whilst the UPI applies only to OTC derivatives </w:t>
      </w:r>
      <w:proofErr w:type="gramStart"/>
      <w:r>
        <w:t>at this time</w:t>
      </w:r>
      <w:proofErr w:type="gramEnd"/>
      <w:r>
        <w:t xml:space="preserve">, and (b) that the OTC ISIN is the most granular of the three standards in terms of the number and type of data elements that describe the identifier. The data elements describing the UPI can </w:t>
      </w:r>
      <w:proofErr w:type="gramStart"/>
      <w:r>
        <w:t>be considered to be</w:t>
      </w:r>
      <w:proofErr w:type="gramEnd"/>
      <w:r>
        <w:t xml:space="preserve"> mid-way between the granularity of the CFI and the OTC ISIN, with the UPI accompanied by CDE for some regulatory reporting purposes. </w:t>
      </w:r>
    </w:p>
    <w:p w14:paraId="7D014D09" w14:textId="6917CC56" w:rsidR="00185AC3" w:rsidRPr="009204CF" w:rsidRDefault="00094BB1" w:rsidP="0087769A">
      <w:pPr>
        <w:spacing w:line="276" w:lineRule="auto"/>
        <w:jc w:val="both"/>
      </w:pPr>
      <w:r>
        <w:rPr>
          <w:noProof/>
        </w:rPr>
        <w:lastRenderedPageBreak/>
        <w:drawing>
          <wp:inline distT="0" distB="0" distL="0" distR="0" wp14:anchorId="5106F45B" wp14:editId="03FD8868">
            <wp:extent cx="5658678" cy="3184939"/>
            <wp:effectExtent l="0" t="0" r="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96DAC541-7B7A-43D3-8B79-37D633B846F1}">
                          <asvg:svgBlip xmlns:asvg="http://schemas.microsoft.com/office/drawing/2016/SVG/main" r:embed="rId28"/>
                        </a:ext>
                      </a:extLst>
                    </a:blip>
                    <a:stretch>
                      <a:fillRect/>
                    </a:stretch>
                  </pic:blipFill>
                  <pic:spPr>
                    <a:xfrm>
                      <a:off x="0" y="0"/>
                      <a:ext cx="5662132" cy="3186883"/>
                    </a:xfrm>
                    <a:prstGeom prst="rect">
                      <a:avLst/>
                    </a:prstGeom>
                  </pic:spPr>
                </pic:pic>
              </a:graphicData>
            </a:graphic>
          </wp:inline>
        </w:drawing>
      </w:r>
    </w:p>
    <w:p w14:paraId="1C927E80" w14:textId="5245A285" w:rsidR="00185AC3" w:rsidRDefault="00185AC3" w:rsidP="00860539">
      <w:pPr>
        <w:spacing w:line="276" w:lineRule="auto"/>
        <w:jc w:val="both"/>
      </w:pPr>
      <w:r>
        <w:t xml:space="preserve">It is expected that all OTC derivatives that are reportable to regulators could have one or more of the CFI, </w:t>
      </w:r>
      <w:proofErr w:type="gramStart"/>
      <w:r>
        <w:t>UPI</w:t>
      </w:r>
      <w:proofErr w:type="gramEnd"/>
      <w:r>
        <w:t xml:space="preserve"> and OTC ISIN. </w:t>
      </w:r>
      <w:r w:rsidRPr="00F2181F">
        <w:t>The DSB’s product scope ensures that all traded OTC derivative instruments can have any combination of CFI, UPI and OTC ISINs required by the industry</w:t>
      </w:r>
      <w:r>
        <w:t xml:space="preserve">. </w:t>
      </w:r>
      <w:r w:rsidRPr="00F2181F">
        <w:t>Users will determin</w:t>
      </w:r>
      <w:r>
        <w:t>e</w:t>
      </w:r>
      <w:r w:rsidRPr="00F2181F">
        <w:t xml:space="preserve"> the specific identifiers that are created and therefore available for search and download.</w:t>
      </w:r>
    </w:p>
    <w:p w14:paraId="3B0BBC48" w14:textId="77777777" w:rsidR="00185AC3" w:rsidRDefault="00185AC3" w:rsidP="0087769A">
      <w:pPr>
        <w:spacing w:after="240" w:line="276" w:lineRule="auto"/>
        <w:jc w:val="both"/>
      </w:pPr>
      <w:r>
        <w:t>More details on the definition of each of the CFI, UPI and OTC ISIN and the relationship between them, including a worked example setting out the differences between each can be found here</w:t>
      </w:r>
      <w:r>
        <w:rPr>
          <w:rStyle w:val="FootnoteReference"/>
        </w:rPr>
        <w:footnoteReference w:id="34"/>
      </w:r>
      <w:r>
        <w:t xml:space="preserve"> and here</w:t>
      </w:r>
      <w:r>
        <w:rPr>
          <w:rStyle w:val="FootnoteReference"/>
        </w:rPr>
        <w:footnoteReference w:id="35"/>
      </w:r>
      <w:r>
        <w:t xml:space="preserve">. </w:t>
      </w:r>
    </w:p>
    <w:p w14:paraId="4C42F072" w14:textId="77777777" w:rsidR="00185AC3" w:rsidRDefault="00185AC3" w:rsidP="0048715D">
      <w:pPr>
        <w:pStyle w:val="Heading2"/>
        <w:spacing w:before="0" w:line="276" w:lineRule="auto"/>
        <w:jc w:val="both"/>
      </w:pPr>
      <w:bookmarkStart w:id="81" w:name="_Toc60651770"/>
      <w:bookmarkStart w:id="82" w:name="_Toc60651773"/>
      <w:bookmarkStart w:id="83" w:name="_Toc61255925"/>
      <w:bookmarkEnd w:id="81"/>
      <w:r>
        <w:t>Product definitions for the UPI</w:t>
      </w:r>
      <w:bookmarkEnd w:id="82"/>
      <w:bookmarkEnd w:id="83"/>
      <w:r>
        <w:t xml:space="preserve"> </w:t>
      </w:r>
    </w:p>
    <w:p w14:paraId="3F0F1A88" w14:textId="0558F792" w:rsidR="00185AC3" w:rsidRDefault="00185AC3" w:rsidP="0087769A">
      <w:pPr>
        <w:spacing w:after="120" w:line="276" w:lineRule="auto"/>
        <w:jc w:val="both"/>
      </w:pPr>
      <w:r>
        <w:t>This assumption aims to build on the DSB’s existing practice and provide UPI users with insight into how product definitions are created, reviewed, and finalised by the DSB’s Product Committee</w:t>
      </w:r>
      <w:r w:rsidR="003D004E">
        <w:t xml:space="preserve"> (PC)</w:t>
      </w:r>
      <w:r>
        <w:t xml:space="preserve">. </w:t>
      </w:r>
    </w:p>
    <w:p w14:paraId="4179BA6F" w14:textId="77777777" w:rsidR="00185AC3" w:rsidRDefault="00185AC3" w:rsidP="0087769A">
      <w:pPr>
        <w:spacing w:after="120" w:line="276" w:lineRule="auto"/>
        <w:jc w:val="both"/>
      </w:pPr>
      <w:r>
        <w:t xml:space="preserve">The DSB PC comprising a diverse spectrum of industry practitioners and regulators commenced a review of the alignment between the data elements contained in the OTC ISIN and the UPI as set out in the Technical Guidance Document published by CPMI-IOSCO. The aim of the preliminary review was to evaluate the data needs of the UPI and determine to what extent these were already held by the DSB when users were requesting an OTC ISIN and/or CFI code. </w:t>
      </w:r>
    </w:p>
    <w:p w14:paraId="75F204CB" w14:textId="24C263A4" w:rsidR="00185AC3" w:rsidRDefault="00185AC3" w:rsidP="0087769A">
      <w:pPr>
        <w:spacing w:after="360" w:line="276" w:lineRule="auto"/>
        <w:jc w:val="both"/>
      </w:pPr>
      <w:r>
        <w:t xml:space="preserve">The PC has subsequently been engaged in communications first with the FSB and now the ROC as part of its ongoing UPI related </w:t>
      </w:r>
      <w:r w:rsidR="00DB6FBB">
        <w:t>work and</w:t>
      </w:r>
      <w:r>
        <w:t xml:space="preserve"> will undertake a detailed review of the full suite of UPI product definitions (for both input and derived values) so that implementation aspects can be finalised. The PC is also examining any additional data sources that might be required to ensure global applicability of the identifier such as a sufficiently broad set of indices (across a range of asset classes, etc.).  As with the TAC, any final recommendations will be made to the DSB Board for final review and decision making. </w:t>
      </w:r>
    </w:p>
    <w:p w14:paraId="60AEE318" w14:textId="77777777" w:rsidR="00185AC3" w:rsidRDefault="00185AC3" w:rsidP="0048715D">
      <w:pPr>
        <w:pStyle w:val="Heading2"/>
        <w:spacing w:before="0" w:line="276" w:lineRule="auto"/>
        <w:jc w:val="both"/>
      </w:pPr>
      <w:bookmarkStart w:id="84" w:name="_Ref57192934"/>
      <w:bookmarkStart w:id="85" w:name="_Ref57192943"/>
      <w:bookmarkStart w:id="86" w:name="_Toc60651774"/>
      <w:bookmarkStart w:id="87" w:name="_Toc61255926"/>
      <w:r>
        <w:lastRenderedPageBreak/>
        <w:t>UPI Creation Estimates</w:t>
      </w:r>
      <w:bookmarkEnd w:id="84"/>
      <w:bookmarkEnd w:id="85"/>
      <w:bookmarkEnd w:id="86"/>
      <w:bookmarkEnd w:id="87"/>
      <w:r>
        <w:t xml:space="preserve"> </w:t>
      </w:r>
    </w:p>
    <w:p w14:paraId="304AF998" w14:textId="41FEF587" w:rsidR="00185AC3" w:rsidRPr="003F5F8A" w:rsidRDefault="00185AC3" w:rsidP="0087769A">
      <w:pPr>
        <w:spacing w:line="276" w:lineRule="auto"/>
        <w:jc w:val="both"/>
      </w:pPr>
      <w:r w:rsidRPr="003F5F8A">
        <w:t>This assumption aims to provide users with insight into the estimates of both the initial UPI creation rate, and the</w:t>
      </w:r>
      <w:r w:rsidRPr="009F5C43">
        <w:t xml:space="preserve"> </w:t>
      </w:r>
      <w:r w:rsidR="00DB6FBB" w:rsidRPr="009F5C43">
        <w:t>longer-term</w:t>
      </w:r>
      <w:r w:rsidRPr="009F5C43">
        <w:t xml:space="preserve"> flow rate</w:t>
      </w:r>
      <w:r w:rsidRPr="00B56B63">
        <w:t xml:space="preserve"> so that readers </w:t>
      </w:r>
      <w:proofErr w:type="gramStart"/>
      <w:r w:rsidRPr="00B56B63">
        <w:t>are able to</w:t>
      </w:r>
      <w:proofErr w:type="gramEnd"/>
      <w:r w:rsidRPr="00B56B63">
        <w:t xml:space="preserve"> use these as a basis to provide feedback on the principles set out in section </w:t>
      </w:r>
      <w:r w:rsidRPr="003F5F8A">
        <w:fldChar w:fldCharType="begin"/>
      </w:r>
      <w:r w:rsidRPr="00B56B63">
        <w:instrText xml:space="preserve"> REF _Ref60649071 \r \h </w:instrText>
      </w:r>
      <w:r>
        <w:instrText xml:space="preserve"> \* MERGEFORMAT </w:instrText>
      </w:r>
      <w:r w:rsidRPr="003F5F8A">
        <w:fldChar w:fldCharType="separate"/>
      </w:r>
      <w:r w:rsidRPr="003F5F8A">
        <w:t>5</w:t>
      </w:r>
      <w:r w:rsidRPr="003F5F8A">
        <w:fldChar w:fldCharType="end"/>
      </w:r>
      <w:r w:rsidRPr="003F5F8A">
        <w:t xml:space="preserve"> of this document.  </w:t>
      </w:r>
    </w:p>
    <w:p w14:paraId="475608F2" w14:textId="0117F4B4" w:rsidR="00185AC3" w:rsidRPr="00B56B63" w:rsidRDefault="00185AC3" w:rsidP="0087769A">
      <w:pPr>
        <w:spacing w:line="276" w:lineRule="auto"/>
        <w:jc w:val="both"/>
      </w:pPr>
      <w:r w:rsidRPr="009F5C43">
        <w:t>The DSB estimate</w:t>
      </w:r>
      <w:r w:rsidR="0069732A">
        <w:t>s</w:t>
      </w:r>
      <w:r w:rsidRPr="009F5C43">
        <w:t xml:space="preserve"> the number of UPIs required, as part of a series of inputs to determine the functional and non-functional r</w:t>
      </w:r>
      <w:r w:rsidRPr="00B56B63">
        <w:t xml:space="preserve">equirements of the UPI service. Estimates are based on the minimum criteria set out in the UPI Technical Guidance document referenced earlier, in conjunction with the data elements used to define the OTC ISIN. </w:t>
      </w:r>
    </w:p>
    <w:p w14:paraId="4AA205C1" w14:textId="25FD9CD9" w:rsidR="00185AC3" w:rsidRPr="009F5C43" w:rsidRDefault="00185AC3" w:rsidP="0087769A">
      <w:pPr>
        <w:spacing w:line="276" w:lineRule="auto"/>
        <w:jc w:val="both"/>
      </w:pPr>
      <w:r w:rsidRPr="00B56B63">
        <w:t xml:space="preserve">DSB estimates are based on an extract that uses the OTC ISIN records held by the DSB, with a sample of 27 products included, representing approximately 88% of the total number of OTC ISINs in the DSB database. The </w:t>
      </w:r>
      <w:r w:rsidR="00766FD0">
        <w:t>product</w:t>
      </w:r>
      <w:r w:rsidRPr="00B56B63">
        <w:t xml:space="preserve"> templates</w:t>
      </w:r>
      <w:r w:rsidRPr="003F5F8A">
        <w:rPr>
          <w:rStyle w:val="FootnoteReference"/>
        </w:rPr>
        <w:footnoteReference w:id="36"/>
      </w:r>
      <w:r w:rsidRPr="003F5F8A">
        <w:t xml:space="preserve"> selected for this process focused on the 25 products with the most </w:t>
      </w:r>
      <w:r w:rsidR="000408AE">
        <w:t xml:space="preserve">OTC </w:t>
      </w:r>
      <w:r w:rsidRPr="003F5F8A">
        <w:t xml:space="preserve">ISINs however, to demonstrate breadth of coverage, the sample was extended to include at least 4 entries for each asset class. </w:t>
      </w:r>
    </w:p>
    <w:p w14:paraId="44C38EC9" w14:textId="4309FE7D" w:rsidR="00185AC3" w:rsidRPr="00B56B63" w:rsidRDefault="00185AC3" w:rsidP="0087769A">
      <w:pPr>
        <w:spacing w:line="276" w:lineRule="auto"/>
        <w:jc w:val="both"/>
      </w:pPr>
      <w:r w:rsidRPr="00B56B63">
        <w:t>The data provided in this section should be treated as a general guideline as utilisation of OTC ISIN on which the estimates below are based is a key but single indicator of UPI creation volumes. Eventual creation of the UPI will be determined by users’ specific regulatory reporting requirements</w:t>
      </w:r>
      <w:r w:rsidR="0004498D">
        <w:t xml:space="preserve">, and the precise UPI </w:t>
      </w:r>
      <w:r w:rsidR="00BD3666">
        <w:t>product templates</w:t>
      </w:r>
      <w:r w:rsidR="008E2D70">
        <w:t xml:space="preserve"> that are agreed</w:t>
      </w:r>
      <w:r w:rsidRPr="00B56B63">
        <w:t xml:space="preserve">. </w:t>
      </w:r>
    </w:p>
    <w:p w14:paraId="1D498E69" w14:textId="77777777" w:rsidR="00185AC3" w:rsidRPr="00B56B63" w:rsidRDefault="00185AC3" w:rsidP="0087769A">
      <w:pPr>
        <w:spacing w:line="276" w:lineRule="auto"/>
        <w:jc w:val="both"/>
      </w:pPr>
      <w:r w:rsidRPr="00B56B63">
        <w:t>The following methodology was used to estimate the possible number of new UPIs each month:</w:t>
      </w:r>
    </w:p>
    <w:p w14:paraId="29E9205F" w14:textId="77777777" w:rsidR="00185AC3" w:rsidRPr="003F5F8A" w:rsidRDefault="00185AC3" w:rsidP="0048715D">
      <w:pPr>
        <w:pStyle w:val="ListParagraph"/>
        <w:numPr>
          <w:ilvl w:val="0"/>
          <w:numId w:val="9"/>
        </w:numPr>
        <w:spacing w:line="276" w:lineRule="auto"/>
        <w:jc w:val="both"/>
      </w:pPr>
      <w:r w:rsidRPr="003F5F8A">
        <w:t>Define an assumed UPI attribute definition for each OTC ISIN template. For example: the FX Swap UPI is made up of Product Name, CFI Code, Notional Currency and Other Notional Currency.</w:t>
      </w:r>
    </w:p>
    <w:p w14:paraId="6F8BA843" w14:textId="77777777" w:rsidR="00185AC3" w:rsidRPr="003F5F8A" w:rsidRDefault="00185AC3" w:rsidP="0048715D">
      <w:pPr>
        <w:pStyle w:val="ListParagraph"/>
        <w:numPr>
          <w:ilvl w:val="0"/>
          <w:numId w:val="9"/>
        </w:numPr>
        <w:spacing w:line="276" w:lineRule="auto"/>
        <w:jc w:val="both"/>
      </w:pPr>
      <w:r w:rsidRPr="003F5F8A">
        <w:t>Find the first creation date of any OTC ISIN with only those attributes. All other occurrences of that combination of attributes are ignored</w:t>
      </w:r>
      <w:r w:rsidRPr="003F5F8A">
        <w:rPr>
          <w:rStyle w:val="FootnoteReference"/>
        </w:rPr>
        <w:footnoteReference w:id="37"/>
      </w:r>
      <w:r w:rsidRPr="003F5F8A">
        <w:t>. All additional OTC ISIN attributes (</w:t>
      </w:r>
      <w:proofErr w:type="gramStart"/>
      <w:r w:rsidRPr="003F5F8A">
        <w:t>e.g.</w:t>
      </w:r>
      <w:proofErr w:type="gramEnd"/>
      <w:r w:rsidRPr="003F5F8A">
        <w:t xml:space="preserve"> Expiry Date, Price Multiplier) are ignored.</w:t>
      </w:r>
    </w:p>
    <w:p w14:paraId="5BC304AE" w14:textId="77777777" w:rsidR="00185AC3" w:rsidRPr="003F5F8A" w:rsidRDefault="00185AC3" w:rsidP="0087769A">
      <w:pPr>
        <w:pStyle w:val="ListParagraph"/>
        <w:numPr>
          <w:ilvl w:val="0"/>
          <w:numId w:val="9"/>
        </w:numPr>
        <w:spacing w:line="276" w:lineRule="auto"/>
        <w:jc w:val="both"/>
      </w:pPr>
      <w:r w:rsidRPr="003F5F8A">
        <w:t>Add each returned record to the total for that template/month.</w:t>
      </w:r>
    </w:p>
    <w:p w14:paraId="6397683E" w14:textId="5FEC901F" w:rsidR="00185AC3" w:rsidRPr="00B56B63" w:rsidRDefault="00185AC3" w:rsidP="0087769A">
      <w:pPr>
        <w:spacing w:line="276" w:lineRule="auto"/>
        <w:jc w:val="both"/>
      </w:pPr>
      <w:r w:rsidRPr="003F5F8A">
        <w:t>It should be noted that Non-Standard and Basket templates were not included in the sample because the UPI equivalence for these products has yet to be determined – f</w:t>
      </w:r>
      <w:r w:rsidRPr="009F5C43">
        <w:t>or example, OTC ISINs for products with a basket of underliers are based on individual bask</w:t>
      </w:r>
      <w:r w:rsidRPr="00B56B63">
        <w:t xml:space="preserve">et entries, whereas UPIs may be based on a classification of the underlying – which would lead to a significantly reduced population. It is expected that as the specific UPI product definitions of each of these types of products are finalized, the DSB will be better positioned to evaluate the precise impact on UPI creation activities. It is worth noting </w:t>
      </w:r>
      <w:proofErr w:type="gramStart"/>
      <w:r w:rsidRPr="00B56B63">
        <w:t>at this time</w:t>
      </w:r>
      <w:proofErr w:type="gramEnd"/>
      <w:r w:rsidRPr="00B56B63">
        <w:t xml:space="preserve">, such products do not constitute a substantive majority of instrument identifiers. </w:t>
      </w:r>
    </w:p>
    <w:p w14:paraId="4286F4FB" w14:textId="77777777" w:rsidR="00185AC3" w:rsidRPr="003F5F8A" w:rsidRDefault="00185AC3" w:rsidP="0087769A">
      <w:pPr>
        <w:spacing w:line="276" w:lineRule="auto"/>
        <w:jc w:val="both"/>
      </w:pPr>
      <w:r w:rsidRPr="00B56B63">
        <w:t xml:space="preserve">The chart below highlights the 12-month rolling average based on the methodology set out above. The date range starts at the point at which OTC ISIN generation commenced and shows the subsequent three-year period. As mentioned above, the OTC ISIN is being used as a working proxy in this instance as the instrument templates currently available to users covers the full range of OTC </w:t>
      </w:r>
      <w:r w:rsidRPr="00B56B63">
        <w:lastRenderedPageBreak/>
        <w:t xml:space="preserve">derivatives CFI codes used by the market. A detailed breakdown of metrics </w:t>
      </w:r>
      <w:proofErr w:type="gramStart"/>
      <w:r w:rsidRPr="00B56B63">
        <w:t>are</w:t>
      </w:r>
      <w:proofErr w:type="gramEnd"/>
      <w:r w:rsidRPr="00B56B63">
        <w:t xml:space="preserve"> provided in section </w:t>
      </w:r>
      <w:r w:rsidRPr="003F5F8A">
        <w:fldChar w:fldCharType="begin"/>
      </w:r>
      <w:r w:rsidRPr="00B56B63">
        <w:instrText xml:space="preserve"> REF _Ref57818686 \r \h  \* MERGEFORMAT </w:instrText>
      </w:r>
      <w:r w:rsidRPr="003F5F8A">
        <w:fldChar w:fldCharType="separate"/>
      </w:r>
      <w:r w:rsidRPr="003F5F8A">
        <w:t>6.1</w:t>
      </w:r>
      <w:r w:rsidRPr="003F5F8A">
        <w:fldChar w:fldCharType="end"/>
      </w:r>
      <w:r w:rsidRPr="003F5F8A">
        <w:t xml:space="preserve"> of this paper. </w:t>
      </w:r>
    </w:p>
    <w:p w14:paraId="4E710E95" w14:textId="77777777" w:rsidR="00185AC3" w:rsidRDefault="00185AC3" w:rsidP="0087769A">
      <w:pPr>
        <w:spacing w:after="360" w:line="276" w:lineRule="auto"/>
        <w:jc w:val="both"/>
      </w:pPr>
      <w:r w:rsidRPr="00906F51">
        <w:rPr>
          <w:noProof/>
          <w:lang w:eastAsia="en-GB"/>
        </w:rPr>
        <w:drawing>
          <wp:inline distT="0" distB="0" distL="0" distR="0" wp14:anchorId="2098FB4D" wp14:editId="27ED76F1">
            <wp:extent cx="5943600" cy="25266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7847" cy="2528470"/>
                    </a:xfrm>
                    <a:prstGeom prst="rect">
                      <a:avLst/>
                    </a:prstGeom>
                    <a:noFill/>
                    <a:ln>
                      <a:noFill/>
                    </a:ln>
                  </pic:spPr>
                </pic:pic>
              </a:graphicData>
            </a:graphic>
          </wp:inline>
        </w:drawing>
      </w:r>
    </w:p>
    <w:p w14:paraId="62495C51" w14:textId="77777777" w:rsidR="00185AC3" w:rsidRDefault="00185AC3" w:rsidP="0048715D">
      <w:pPr>
        <w:pStyle w:val="Heading2"/>
        <w:spacing w:before="0" w:line="276" w:lineRule="auto"/>
        <w:jc w:val="both"/>
      </w:pPr>
      <w:bookmarkStart w:id="88" w:name="_Toc60651775"/>
      <w:bookmarkStart w:id="89" w:name="_Toc61255927"/>
      <w:r>
        <w:t>UPI Adoption Expectations</w:t>
      </w:r>
      <w:bookmarkEnd w:id="88"/>
      <w:bookmarkEnd w:id="89"/>
      <w:r>
        <w:t xml:space="preserve"> </w:t>
      </w:r>
    </w:p>
    <w:p w14:paraId="336788BC" w14:textId="77777777" w:rsidR="00185AC3" w:rsidRPr="003F5F8A" w:rsidRDefault="00185AC3" w:rsidP="0087769A">
      <w:pPr>
        <w:spacing w:line="276" w:lineRule="auto"/>
        <w:jc w:val="both"/>
      </w:pPr>
      <w:r w:rsidRPr="003F5F8A">
        <w:t>As above, this section seeks to provide readers with insight into the DSB’s understanding of the UPI adoption timelines so t</w:t>
      </w:r>
      <w:r w:rsidRPr="009F5C43">
        <w:t>hat the i</w:t>
      </w:r>
      <w:r w:rsidRPr="007D0CB8">
        <w:t xml:space="preserve">nformation can be utilized when considering responses to the consultation questions set out in section </w:t>
      </w:r>
      <w:r w:rsidRPr="003F5F8A">
        <w:fldChar w:fldCharType="begin"/>
      </w:r>
      <w:r w:rsidRPr="007D0CB8">
        <w:instrText xml:space="preserve"> REF _Ref60649071 \r \h </w:instrText>
      </w:r>
      <w:r>
        <w:instrText xml:space="preserve"> \* MERGEFORMAT </w:instrText>
      </w:r>
      <w:r w:rsidRPr="003F5F8A">
        <w:fldChar w:fldCharType="separate"/>
      </w:r>
      <w:r w:rsidRPr="003F5F8A">
        <w:t>5</w:t>
      </w:r>
      <w:r w:rsidRPr="003F5F8A">
        <w:fldChar w:fldCharType="end"/>
      </w:r>
      <w:r w:rsidRPr="003F5F8A">
        <w:t xml:space="preserve"> of this note. </w:t>
      </w:r>
    </w:p>
    <w:p w14:paraId="25F5710F" w14:textId="77777777" w:rsidR="00185AC3" w:rsidRPr="007D0CB8" w:rsidRDefault="00185AC3" w:rsidP="0087769A">
      <w:pPr>
        <w:spacing w:line="276" w:lineRule="auto"/>
        <w:jc w:val="both"/>
      </w:pPr>
      <w:r w:rsidRPr="009F5C43">
        <w:t>Regulatory insight from a diverse range of jurisdictions indicates that rules to support UPI reporting are either already in place or expected to be in place no later than mid to late 2022, with final adoption</w:t>
      </w:r>
      <w:r w:rsidRPr="007D0CB8">
        <w:t xml:space="preserve"> timelines subject to availability of the UPI service by the DSB, and market consultation. Regulators, in the main, note their expectation that all asset classes will be reportable via a “big bang” approach. </w:t>
      </w:r>
    </w:p>
    <w:p w14:paraId="53FF2158" w14:textId="20C300AA" w:rsidR="00185AC3" w:rsidRPr="007D0CB8" w:rsidRDefault="00185AC3" w:rsidP="0087769A">
      <w:pPr>
        <w:spacing w:line="276" w:lineRule="auto"/>
        <w:jc w:val="both"/>
      </w:pPr>
      <w:r w:rsidRPr="007D0CB8">
        <w:t xml:space="preserve">A closer examination of the available data shows that regulatory expectations (based on information from twelve jurisdictions including those in North America, Europe, </w:t>
      </w:r>
      <w:r w:rsidR="00F06D13" w:rsidRPr="007D0CB8">
        <w:t>Africa,</w:t>
      </w:r>
      <w:r w:rsidRPr="007D0CB8">
        <w:t xml:space="preserve"> and Asia) are that parties that need to report to TRs will directly access the DSB (via the means proposed below for consultation) to create, search </w:t>
      </w:r>
      <w:proofErr w:type="gramStart"/>
      <w:r w:rsidRPr="007D0CB8">
        <w:t>for</w:t>
      </w:r>
      <w:proofErr w:type="gramEnd"/>
      <w:r w:rsidRPr="007D0CB8">
        <w:t xml:space="preserve"> or download data files as part of the market participants’ regulatory reporting workflows. </w:t>
      </w:r>
    </w:p>
    <w:p w14:paraId="7DAEFF16" w14:textId="77777777" w:rsidR="00185AC3" w:rsidRPr="007D0CB8" w:rsidRDefault="00185AC3" w:rsidP="0087769A">
      <w:pPr>
        <w:spacing w:line="276" w:lineRule="auto"/>
        <w:jc w:val="both"/>
      </w:pPr>
      <w:r w:rsidRPr="007D0CB8">
        <w:t xml:space="preserve">A handful of regulators have noted that they intend to consult with the market in terms of the specific timing of implementation </w:t>
      </w:r>
      <w:proofErr w:type="gramStart"/>
      <w:r w:rsidRPr="007D0CB8">
        <w:t>and also</w:t>
      </w:r>
      <w:proofErr w:type="gramEnd"/>
      <w:r w:rsidRPr="007D0CB8">
        <w:t xml:space="preserve"> to determine whether the scope of instruments requiring a UPI should be extended beyond OTC derivatives, as well as whether UPI adoption should be phased by size of the reporting institution, such that larger institutions are in the first phase. In addition, some jurisdictions are in the processes of finalising their trade reporting infrastructure, while others have noted their intention to proceed with introduction of the UPI in a manner that aligns with other regional regulators.  </w:t>
      </w:r>
    </w:p>
    <w:p w14:paraId="3D7CF231" w14:textId="77777777" w:rsidR="00185AC3" w:rsidRPr="007D0CB8" w:rsidRDefault="00185AC3" w:rsidP="0087769A">
      <w:pPr>
        <w:spacing w:after="660" w:line="276" w:lineRule="auto"/>
        <w:jc w:val="both"/>
      </w:pPr>
      <w:r w:rsidRPr="007D0CB8">
        <w:t>There are a mix of views on the matter of reporting timelines, with most converging on a T+1 timeline, and the spectrum spanning from trade execution</w:t>
      </w:r>
      <w:r w:rsidRPr="003F5F8A">
        <w:t>, to T+2. In addition, eight of the twelve jurisdictions that were approached noted that their rulesets were based on the premise of dual-s</w:t>
      </w:r>
      <w:r w:rsidRPr="009F5C43">
        <w:t>ided reporting, such that both parties in the transaction would need access to the UPI reference da</w:t>
      </w:r>
      <w:r w:rsidRPr="007D0CB8">
        <w:t xml:space="preserve">ta record generated by the DSB, regardless of whether it was directly or indirectly sourced. </w:t>
      </w:r>
    </w:p>
    <w:p w14:paraId="7D641DBC" w14:textId="77777777" w:rsidR="00185AC3" w:rsidRDefault="00185AC3" w:rsidP="0048715D">
      <w:pPr>
        <w:pStyle w:val="Heading1"/>
        <w:spacing w:line="276" w:lineRule="auto"/>
        <w:ind w:hanging="431"/>
        <w:jc w:val="both"/>
        <w:rPr>
          <w:color w:val="30AEB9"/>
        </w:rPr>
      </w:pPr>
      <w:bookmarkStart w:id="90" w:name="_Ref57896767"/>
      <w:bookmarkStart w:id="91" w:name="_Ref60649071"/>
      <w:bookmarkStart w:id="92" w:name="_Toc60651776"/>
      <w:bookmarkStart w:id="93" w:name="_Toc61255928"/>
      <w:r w:rsidRPr="003B1848">
        <w:rPr>
          <w:color w:val="30AEB9"/>
        </w:rPr>
        <w:lastRenderedPageBreak/>
        <w:t>Consultation Considerations</w:t>
      </w:r>
      <w:bookmarkEnd w:id="43"/>
      <w:bookmarkEnd w:id="90"/>
      <w:bookmarkEnd w:id="91"/>
      <w:bookmarkEnd w:id="92"/>
      <w:bookmarkEnd w:id="93"/>
    </w:p>
    <w:p w14:paraId="04D5B0A2" w14:textId="77777777" w:rsidR="00185AC3" w:rsidRDefault="00185AC3" w:rsidP="0087769A">
      <w:pPr>
        <w:spacing w:after="360" w:line="276" w:lineRule="auto"/>
        <w:jc w:val="both"/>
      </w:pPr>
      <w:r>
        <w:t xml:space="preserve">Responses should be objective, and where users believe that the DSB’s proposals should be amended and/or augmented, alternate solutions should be proposed, with responses listing specific and actionable alternative solution(s) that would be acceptable to the respondent to ensure that the DSB can work to reflect the best target solution sought by industry and within the governance framework of the utility.   </w:t>
      </w:r>
    </w:p>
    <w:p w14:paraId="14E5E9BB" w14:textId="77777777" w:rsidR="00185AC3" w:rsidRDefault="00185AC3" w:rsidP="0048715D">
      <w:pPr>
        <w:pStyle w:val="Heading2"/>
        <w:spacing w:before="0" w:line="276" w:lineRule="auto"/>
      </w:pPr>
      <w:bookmarkStart w:id="94" w:name="_Toc60651777"/>
      <w:bookmarkStart w:id="95" w:name="_Toc60651778"/>
      <w:bookmarkStart w:id="96" w:name="_Toc60651779"/>
      <w:bookmarkStart w:id="97" w:name="_Toc60651780"/>
      <w:bookmarkStart w:id="98" w:name="_Toc60651781"/>
      <w:bookmarkStart w:id="99" w:name="_Toc60651782"/>
      <w:bookmarkStart w:id="100" w:name="_Toc60651783"/>
      <w:bookmarkStart w:id="101" w:name="_Toc60651784"/>
      <w:bookmarkStart w:id="102" w:name="_Toc60651785"/>
      <w:bookmarkStart w:id="103" w:name="_Toc61255929"/>
      <w:bookmarkEnd w:id="44"/>
      <w:bookmarkEnd w:id="94"/>
      <w:bookmarkEnd w:id="95"/>
      <w:bookmarkEnd w:id="96"/>
      <w:bookmarkEnd w:id="97"/>
      <w:bookmarkEnd w:id="98"/>
      <w:bookmarkEnd w:id="99"/>
      <w:bookmarkEnd w:id="100"/>
      <w:bookmarkEnd w:id="101"/>
      <w:r>
        <w:rPr>
          <w:noProof/>
          <w:lang w:eastAsia="en-GB"/>
        </w:rPr>
        <mc:AlternateContent>
          <mc:Choice Requires="wps">
            <w:drawing>
              <wp:anchor distT="45720" distB="45720" distL="114300" distR="114300" simplePos="0" relativeHeight="251667968" behindDoc="0" locked="0" layoutInCell="1" allowOverlap="1" wp14:anchorId="5BF8B758" wp14:editId="6F9E82DB">
                <wp:simplePos x="0" y="0"/>
                <wp:positionH relativeFrom="margin">
                  <wp:posOffset>-2540</wp:posOffset>
                </wp:positionH>
                <wp:positionV relativeFrom="paragraph">
                  <wp:posOffset>287000</wp:posOffset>
                </wp:positionV>
                <wp:extent cx="5716905" cy="1404620"/>
                <wp:effectExtent l="0" t="0" r="1714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4AEB9"/>
                          </a:solidFill>
                          <a:miter lim="800000"/>
                          <a:headEnd/>
                          <a:tailEnd/>
                        </a:ln>
                      </wps:spPr>
                      <wps:txbx>
                        <w:txbxContent>
                          <w:p w14:paraId="10903621" w14:textId="77777777" w:rsidR="00185AC3" w:rsidRPr="0076032B" w:rsidRDefault="00185AC3" w:rsidP="00185AC3">
                            <w:pPr>
                              <w:pStyle w:val="paragraph"/>
                              <w:spacing w:before="240" w:beforeAutospacing="0" w:after="120" w:afterAutospacing="0" w:line="276" w:lineRule="auto"/>
                              <w:textAlignment w:val="baseline"/>
                              <w:rPr>
                                <w:rStyle w:val="normaltextrun"/>
                                <w:rFonts w:asciiTheme="minorHAnsi" w:hAnsiTheme="minorHAnsi" w:cstheme="minorHAnsi"/>
                                <w:color w:val="000000"/>
                                <w:sz w:val="22"/>
                                <w:szCs w:val="22"/>
                              </w:rPr>
                            </w:pPr>
                            <w:r>
                              <w:rPr>
                                <w:rStyle w:val="normaltextrun"/>
                                <w:rFonts w:ascii="Calibri" w:hAnsi="Calibri" w:cs="Calibri"/>
                                <w:b/>
                                <w:color w:val="000000"/>
                                <w:sz w:val="22"/>
                                <w:szCs w:val="22"/>
                              </w:rPr>
                              <w:t>Summary</w:t>
                            </w:r>
                            <w:r w:rsidRPr="0076032B">
                              <w:rPr>
                                <w:rStyle w:val="normaltextrun"/>
                                <w:rFonts w:asciiTheme="minorHAnsi" w:hAnsiTheme="minorHAnsi" w:cstheme="minorHAnsi"/>
                                <w:b/>
                                <w:color w:val="000000"/>
                                <w:sz w:val="22"/>
                                <w:szCs w:val="22"/>
                              </w:rPr>
                              <w:t xml:space="preserve">: </w:t>
                            </w:r>
                            <w:r>
                              <w:rPr>
                                <w:rStyle w:val="normaltextrun"/>
                                <w:rFonts w:asciiTheme="minorHAnsi" w:hAnsiTheme="minorHAnsi" w:cstheme="minorHAnsi"/>
                                <w:bCs/>
                                <w:color w:val="000000"/>
                                <w:sz w:val="22"/>
                                <w:szCs w:val="22"/>
                              </w:rPr>
                              <w:t xml:space="preserve">The DSB estimates approximately that 20,000 organizations globally are likely to connect to the DSB to access UPI data, with supporting rationale set out below. </w:t>
                            </w:r>
                            <w:r>
                              <w:rPr>
                                <w:rStyle w:val="normaltextrun"/>
                                <w:rFonts w:ascii="Calibri" w:hAnsi="Calibri" w:cs="Calibri"/>
                                <w:color w:val="000000"/>
                                <w:sz w:val="22"/>
                                <w:szCs w:val="22"/>
                              </w:rPr>
                              <w:t xml:space="preserve">This estimate is predicated on a steady state expectation based on the information set out in the supporting information. </w:t>
                            </w:r>
                          </w:p>
                          <w:p w14:paraId="07794411" w14:textId="77777777" w:rsidR="00185AC3" w:rsidRDefault="00185AC3" w:rsidP="00185AC3">
                            <w:pPr>
                              <w:rPr>
                                <w:rStyle w:val="normaltextrun"/>
                                <w:rFonts w:cstheme="minorHAnsi"/>
                                <w:b/>
                                <w:i/>
                                <w:color w:val="000000"/>
                              </w:rPr>
                            </w:pPr>
                            <w:r w:rsidRPr="0076032B">
                              <w:rPr>
                                <w:rStyle w:val="normaltextrun"/>
                                <w:rFonts w:cstheme="minorHAnsi"/>
                                <w:b/>
                                <w:bCs/>
                                <w:color w:val="000000"/>
                              </w:rPr>
                              <w:t>Question</w:t>
                            </w:r>
                            <w:r>
                              <w:rPr>
                                <w:rStyle w:val="normaltextrun"/>
                                <w:rFonts w:cstheme="minorHAnsi"/>
                                <w:b/>
                                <w:bCs/>
                                <w:color w:val="000000"/>
                              </w:rPr>
                              <w:t xml:space="preserve"> 1a</w:t>
                            </w:r>
                            <w:r w:rsidRPr="0076032B">
                              <w:rPr>
                                <w:rStyle w:val="normaltextrun"/>
                                <w:rFonts w:cstheme="minorHAnsi"/>
                                <w:b/>
                                <w:bCs/>
                                <w:color w:val="000000"/>
                              </w:rPr>
                              <w:t xml:space="preserve">: </w:t>
                            </w:r>
                            <w:r w:rsidRPr="00E63BBE">
                              <w:rPr>
                                <w:rStyle w:val="normaltextrun"/>
                                <w:rFonts w:cstheme="minorHAnsi"/>
                                <w:b/>
                                <w:i/>
                                <w:color w:val="000000"/>
                              </w:rPr>
                              <w:t xml:space="preserve">Do you concur with the UPI user connectivity assumptions set out below?  </w:t>
                            </w:r>
                          </w:p>
                          <w:p w14:paraId="5234FCDE" w14:textId="77777777" w:rsidR="00185AC3" w:rsidRPr="00E63BBE" w:rsidRDefault="00185AC3" w:rsidP="00185AC3">
                            <w:pPr>
                              <w:rPr>
                                <w:rStyle w:val="normaltextrun"/>
                                <w:rFonts w:cstheme="minorHAnsi"/>
                                <w:b/>
                                <w:i/>
                                <w:color w:val="000000"/>
                              </w:rPr>
                            </w:pPr>
                            <w:r w:rsidRPr="00264FA9">
                              <w:rPr>
                                <w:rStyle w:val="normaltextrun"/>
                                <w:rFonts w:cstheme="minorHAnsi"/>
                                <w:b/>
                                <w:bCs/>
                                <w:color w:val="000000"/>
                              </w:rPr>
                              <w:t xml:space="preserve">Question </w:t>
                            </w:r>
                            <w:r>
                              <w:rPr>
                                <w:rStyle w:val="normaltextrun"/>
                                <w:rFonts w:cstheme="minorHAnsi"/>
                                <w:b/>
                                <w:bCs/>
                                <w:color w:val="000000"/>
                              </w:rPr>
                              <w:t>1</w:t>
                            </w:r>
                            <w:r w:rsidRPr="00264FA9">
                              <w:rPr>
                                <w:rStyle w:val="normaltextrun"/>
                                <w:rFonts w:cstheme="minorHAnsi"/>
                                <w:b/>
                                <w:bCs/>
                                <w:color w:val="000000"/>
                              </w:rPr>
                              <w:t>b:</w:t>
                            </w:r>
                            <w:r w:rsidRPr="00E63BBE">
                              <w:rPr>
                                <w:rStyle w:val="normaltextrun"/>
                                <w:rFonts w:cstheme="minorHAnsi"/>
                                <w:b/>
                                <w:color w:val="000000"/>
                              </w:rPr>
                              <w:t xml:space="preserve"> </w:t>
                            </w:r>
                            <w:r w:rsidRPr="00E63BBE">
                              <w:rPr>
                                <w:rStyle w:val="normaltextrun"/>
                                <w:rFonts w:cstheme="minorHAnsi"/>
                                <w:b/>
                                <w:i/>
                                <w:color w:val="000000"/>
                              </w:rPr>
                              <w:t xml:space="preserve">If not, what specific alternate approach do you recommend? Please provide a clear rationale and cite publicly available sources for any additional data points you believe should be incorporated into the DSB’s assumptions.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F8B758" id="_x0000_t202" coordsize="21600,21600" o:spt="202" path="m,l,21600r21600,l21600,xe">
                <v:stroke joinstyle="miter"/>
                <v:path gradientshapeok="t" o:connecttype="rect"/>
              </v:shapetype>
              <v:shape id="Text Box 2" o:spid="_x0000_s1026" type="#_x0000_t202" style="position:absolute;left:0;text-align:left;margin-left:-.2pt;margin-top:22.6pt;width:450.15pt;height:110.6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" strokecolor="#04aeb9">
                <v:textbox style="mso-fit-shape-to-text:t">
                  <w:txbxContent>
                    <w:p w14:paraId="10903621" w14:textId="77777777" w:rsidR="00185AC3" w:rsidRPr="0076032B" w:rsidRDefault="00185AC3" w:rsidP="00185AC3">
                      <w:pPr>
                        <w:pStyle w:val="paragraph"/>
                        <w:spacing w:before="240" w:beforeAutospacing="0" w:after="120" w:afterAutospacing="0" w:line="276" w:lineRule="auto"/>
                        <w:textAlignment w:val="baseline"/>
                        <w:rPr>
                          <w:rStyle w:val="normaltextrun"/>
                          <w:rFonts w:asciiTheme="minorHAnsi" w:hAnsiTheme="minorHAnsi" w:cstheme="minorHAnsi"/>
                          <w:color w:val="000000"/>
                          <w:sz w:val="22"/>
                          <w:szCs w:val="22"/>
                        </w:rPr>
                      </w:pPr>
                      <w:r>
                        <w:rPr>
                          <w:rStyle w:val="normaltextrun"/>
                          <w:rFonts w:ascii="Calibri" w:hAnsi="Calibri" w:cs="Calibri"/>
                          <w:b/>
                          <w:color w:val="000000"/>
                          <w:sz w:val="22"/>
                          <w:szCs w:val="22"/>
                        </w:rPr>
                        <w:t>Summary</w:t>
                      </w:r>
                      <w:r w:rsidRPr="0076032B">
                        <w:rPr>
                          <w:rStyle w:val="normaltextrun"/>
                          <w:rFonts w:asciiTheme="minorHAnsi" w:hAnsiTheme="minorHAnsi" w:cstheme="minorHAnsi"/>
                          <w:b/>
                          <w:color w:val="000000"/>
                          <w:sz w:val="22"/>
                          <w:szCs w:val="22"/>
                        </w:rPr>
                        <w:t xml:space="preserve">: </w:t>
                      </w:r>
                      <w:r>
                        <w:rPr>
                          <w:rStyle w:val="normaltextrun"/>
                          <w:rFonts w:asciiTheme="minorHAnsi" w:hAnsiTheme="minorHAnsi" w:cstheme="minorHAnsi"/>
                          <w:bCs/>
                          <w:color w:val="000000"/>
                          <w:sz w:val="22"/>
                          <w:szCs w:val="22"/>
                        </w:rPr>
                        <w:t xml:space="preserve">The DSB estimates approximately that 20,000 organizations globally are likely to connect to the DSB to access UPI data, with supporting rationale set out below. </w:t>
                      </w:r>
                      <w:r>
                        <w:rPr>
                          <w:rStyle w:val="normaltextrun"/>
                          <w:rFonts w:ascii="Calibri" w:hAnsi="Calibri" w:cs="Calibri"/>
                          <w:color w:val="000000"/>
                          <w:sz w:val="22"/>
                          <w:szCs w:val="22"/>
                        </w:rPr>
                        <w:t xml:space="preserve">This estimate is predicated on a steady state expectation based on the information set out in the supporting information. </w:t>
                      </w:r>
                    </w:p>
                    <w:p w14:paraId="07794411" w14:textId="77777777" w:rsidR="00185AC3" w:rsidRDefault="00185AC3" w:rsidP="00185AC3">
                      <w:pPr>
                        <w:rPr>
                          <w:rStyle w:val="normaltextrun"/>
                          <w:rFonts w:cstheme="minorHAnsi"/>
                          <w:b/>
                          <w:i/>
                          <w:color w:val="000000"/>
                        </w:rPr>
                      </w:pPr>
                      <w:r w:rsidRPr="0076032B">
                        <w:rPr>
                          <w:rStyle w:val="normaltextrun"/>
                          <w:rFonts w:cstheme="minorHAnsi"/>
                          <w:b/>
                          <w:bCs/>
                          <w:color w:val="000000"/>
                        </w:rPr>
                        <w:t>Question</w:t>
                      </w:r>
                      <w:r>
                        <w:rPr>
                          <w:rStyle w:val="normaltextrun"/>
                          <w:rFonts w:cstheme="minorHAnsi"/>
                          <w:b/>
                          <w:bCs/>
                          <w:color w:val="000000"/>
                        </w:rPr>
                        <w:t xml:space="preserve"> 1a</w:t>
                      </w:r>
                      <w:r w:rsidRPr="0076032B">
                        <w:rPr>
                          <w:rStyle w:val="normaltextrun"/>
                          <w:rFonts w:cstheme="minorHAnsi"/>
                          <w:b/>
                          <w:bCs/>
                          <w:color w:val="000000"/>
                        </w:rPr>
                        <w:t xml:space="preserve">: </w:t>
                      </w:r>
                      <w:r w:rsidRPr="00E63BBE">
                        <w:rPr>
                          <w:rStyle w:val="normaltextrun"/>
                          <w:rFonts w:cstheme="minorHAnsi"/>
                          <w:b/>
                          <w:i/>
                          <w:color w:val="000000"/>
                        </w:rPr>
                        <w:t xml:space="preserve">Do you concur with the UPI user connectivity assumptions set out below?  </w:t>
                      </w:r>
                    </w:p>
                    <w:p w14:paraId="5234FCDE" w14:textId="77777777" w:rsidR="00185AC3" w:rsidRPr="00E63BBE" w:rsidRDefault="00185AC3" w:rsidP="00185AC3">
                      <w:pPr>
                        <w:rPr>
                          <w:rStyle w:val="normaltextrun"/>
                          <w:rFonts w:cstheme="minorHAnsi"/>
                          <w:b/>
                          <w:i/>
                          <w:color w:val="000000"/>
                        </w:rPr>
                      </w:pPr>
                      <w:r w:rsidRPr="00264FA9">
                        <w:rPr>
                          <w:rStyle w:val="normaltextrun"/>
                          <w:rFonts w:cstheme="minorHAnsi"/>
                          <w:b/>
                          <w:bCs/>
                          <w:color w:val="000000"/>
                        </w:rPr>
                        <w:t xml:space="preserve">Question </w:t>
                      </w:r>
                      <w:r>
                        <w:rPr>
                          <w:rStyle w:val="normaltextrun"/>
                          <w:rFonts w:cstheme="minorHAnsi"/>
                          <w:b/>
                          <w:bCs/>
                          <w:color w:val="000000"/>
                        </w:rPr>
                        <w:t>1</w:t>
                      </w:r>
                      <w:r w:rsidRPr="00264FA9">
                        <w:rPr>
                          <w:rStyle w:val="normaltextrun"/>
                          <w:rFonts w:cstheme="minorHAnsi"/>
                          <w:b/>
                          <w:bCs/>
                          <w:color w:val="000000"/>
                        </w:rPr>
                        <w:t>b:</w:t>
                      </w:r>
                      <w:r w:rsidRPr="00E63BBE">
                        <w:rPr>
                          <w:rStyle w:val="normaltextrun"/>
                          <w:rFonts w:cstheme="minorHAnsi"/>
                          <w:b/>
                          <w:color w:val="000000"/>
                        </w:rPr>
                        <w:t xml:space="preserve"> </w:t>
                      </w:r>
                      <w:r w:rsidRPr="00E63BBE">
                        <w:rPr>
                          <w:rStyle w:val="normaltextrun"/>
                          <w:rFonts w:cstheme="minorHAnsi"/>
                          <w:b/>
                          <w:i/>
                          <w:color w:val="000000"/>
                        </w:rPr>
                        <w:t xml:space="preserve">If not, what specific alternate approach do you recommend? Please provide a clear rationale and cite publicly available sources for any additional data points you believe should be incorporated into the DSB’s assumptions.  </w:t>
                      </w:r>
                    </w:p>
                  </w:txbxContent>
                </v:textbox>
                <w10:wrap type="square" anchorx="margin"/>
              </v:shape>
            </w:pict>
          </mc:Fallback>
        </mc:AlternateContent>
      </w:r>
      <w:r>
        <w:t>Q1 – User Estimates</w:t>
      </w:r>
      <w:bookmarkEnd w:id="102"/>
      <w:bookmarkEnd w:id="103"/>
      <w:r>
        <w:t xml:space="preserve"> </w:t>
      </w:r>
    </w:p>
    <w:p w14:paraId="53446B39" w14:textId="77777777" w:rsidR="00185AC3" w:rsidRPr="003F5F8A" w:rsidRDefault="00185AC3" w:rsidP="0087769A">
      <w:pPr>
        <w:spacing w:line="276" w:lineRule="auto"/>
        <w:jc w:val="both"/>
        <w:rPr>
          <w:u w:val="single"/>
        </w:rPr>
      </w:pPr>
      <w:r w:rsidRPr="003F5F8A">
        <w:rPr>
          <w:u w:val="single"/>
        </w:rPr>
        <w:t>Supporting Information:</w:t>
      </w:r>
    </w:p>
    <w:p w14:paraId="02D23DB5" w14:textId="77777777" w:rsidR="00185AC3" w:rsidRPr="003F5F8A" w:rsidRDefault="00185AC3" w:rsidP="0087769A">
      <w:pPr>
        <w:spacing w:line="276" w:lineRule="auto"/>
        <w:jc w:val="both"/>
      </w:pPr>
      <w:proofErr w:type="gramStart"/>
      <w:r w:rsidRPr="009F5C43">
        <w:t>In light of</w:t>
      </w:r>
      <w:proofErr w:type="gramEnd"/>
      <w:r w:rsidRPr="009F5C43">
        <w:t xml:space="preserve"> the DSB’s current EU and UK focused service offering, it is expected that the DSB will have to onboard a significant number of </w:t>
      </w:r>
      <w:r w:rsidRPr="00DC6784">
        <w:t>new users to accommodate the transition from a European to a global service. In addition, given the possibility that the OTC ISIN will remain the only identifier for derivatives that are reported under the MIFID requirements</w:t>
      </w:r>
      <w:r w:rsidRPr="003F5F8A">
        <w:rPr>
          <w:rStyle w:val="FootnoteReference"/>
        </w:rPr>
        <w:footnoteReference w:id="38"/>
      </w:r>
      <w:r w:rsidRPr="003F5F8A">
        <w:t>, and that the MIFID definition of ‘venue traded’ is broader than the EMIR</w:t>
      </w:r>
      <w:r w:rsidRPr="003F5F8A">
        <w:rPr>
          <w:rStyle w:val="FootnoteReference"/>
        </w:rPr>
        <w:footnoteReference w:id="39"/>
      </w:r>
      <w:r w:rsidRPr="003F5F8A">
        <w:t>, it is expected that EU based institutions may require either the OTC ISIN or the UPI, subject to the outcome of the results of consultation held in the summer of 2020</w:t>
      </w:r>
      <w:r w:rsidRPr="003F5F8A">
        <w:rPr>
          <w:rStyle w:val="FootnoteReference"/>
        </w:rPr>
        <w:footnoteReference w:id="40"/>
      </w:r>
      <w:r w:rsidRPr="003F5F8A">
        <w:t xml:space="preserve">. </w:t>
      </w:r>
    </w:p>
    <w:p w14:paraId="5695ED9E" w14:textId="111F9E1A" w:rsidR="00185AC3" w:rsidRPr="00DC6784" w:rsidRDefault="00185AC3" w:rsidP="0087769A">
      <w:pPr>
        <w:spacing w:line="276" w:lineRule="auto"/>
        <w:jc w:val="both"/>
      </w:pPr>
      <w:r w:rsidRPr="003F5F8A">
        <w:t>A similar scenario may occur in the UK, where on-venue (ToTV and uToTV</w:t>
      </w:r>
      <w:r w:rsidRPr="003F5F8A">
        <w:rPr>
          <w:rStyle w:val="FootnoteReference"/>
        </w:rPr>
        <w:footnoteReference w:id="41"/>
      </w:r>
      <w:r w:rsidRPr="003F5F8A">
        <w:t>) OTC derivative trades expected to be</w:t>
      </w:r>
      <w:r w:rsidRPr="009F5C43">
        <w:t xml:space="preserve"> reported with an OTC ISIN, and off-venue OTC derivative trades expected to be reported using a UPI. </w:t>
      </w:r>
    </w:p>
    <w:p w14:paraId="50C9AE53" w14:textId="77777777" w:rsidR="00185AC3" w:rsidRPr="00DC6784" w:rsidRDefault="00185AC3" w:rsidP="0087769A">
      <w:pPr>
        <w:spacing w:line="276" w:lineRule="auto"/>
        <w:jc w:val="both"/>
      </w:pPr>
      <w:r w:rsidRPr="00DC6784">
        <w:t xml:space="preserve">These assumptions have an impact on the estimated number of organizations that will need to consume the UPI – either directly from the DSB, or via a third party as part of downstream data distribution initiatives by industry.  </w:t>
      </w:r>
    </w:p>
    <w:p w14:paraId="64319485" w14:textId="77777777" w:rsidR="00185AC3" w:rsidRPr="00DC6784" w:rsidRDefault="00185AC3" w:rsidP="0087769A">
      <w:pPr>
        <w:spacing w:after="120" w:line="276" w:lineRule="auto"/>
        <w:jc w:val="both"/>
      </w:pPr>
      <w:r w:rsidRPr="00DC6784">
        <w:t>The DSB utilized four approaches in arriving at estimated numbers of legal entities that may need to connect directly to the service. These included:</w:t>
      </w:r>
    </w:p>
    <w:p w14:paraId="5D1BA182" w14:textId="77777777" w:rsidR="00185AC3" w:rsidRPr="003F5F8A" w:rsidRDefault="00185AC3" w:rsidP="0048715D">
      <w:pPr>
        <w:pStyle w:val="ListParagraph"/>
        <w:numPr>
          <w:ilvl w:val="0"/>
          <w:numId w:val="4"/>
        </w:numPr>
        <w:spacing w:line="276" w:lineRule="auto"/>
        <w:jc w:val="both"/>
      </w:pPr>
      <w:r w:rsidRPr="003F5F8A">
        <w:t>leverage the lessons learned in the three years since the OTC ISIN was launched,</w:t>
      </w:r>
    </w:p>
    <w:p w14:paraId="080FE759" w14:textId="77777777" w:rsidR="00185AC3" w:rsidRPr="003F5F8A" w:rsidRDefault="00185AC3" w:rsidP="0087769A">
      <w:pPr>
        <w:pStyle w:val="ListParagraph"/>
        <w:numPr>
          <w:ilvl w:val="0"/>
          <w:numId w:val="4"/>
        </w:numPr>
        <w:spacing w:line="276" w:lineRule="auto"/>
        <w:jc w:val="both"/>
      </w:pPr>
      <w:r w:rsidRPr="003F5F8A">
        <w:lastRenderedPageBreak/>
        <w:t>identify publicly available and validated data points and citations</w:t>
      </w:r>
    </w:p>
    <w:p w14:paraId="652B031E" w14:textId="77777777" w:rsidR="00185AC3" w:rsidRPr="003F5F8A" w:rsidRDefault="00185AC3" w:rsidP="0087769A">
      <w:pPr>
        <w:pStyle w:val="ListParagraph"/>
        <w:numPr>
          <w:ilvl w:val="0"/>
          <w:numId w:val="4"/>
        </w:numPr>
        <w:spacing w:line="276" w:lineRule="auto"/>
        <w:jc w:val="both"/>
      </w:pPr>
      <w:r w:rsidRPr="003F5F8A">
        <w:t xml:space="preserve">solicit regulatory feedback </w:t>
      </w:r>
    </w:p>
    <w:p w14:paraId="3E23822C" w14:textId="77777777" w:rsidR="00185AC3" w:rsidRPr="003F5F8A" w:rsidRDefault="00185AC3" w:rsidP="0087769A">
      <w:pPr>
        <w:pStyle w:val="ListParagraph"/>
        <w:numPr>
          <w:ilvl w:val="0"/>
          <w:numId w:val="4"/>
        </w:numPr>
        <w:spacing w:line="276" w:lineRule="auto"/>
        <w:jc w:val="both"/>
      </w:pPr>
      <w:r w:rsidRPr="003F5F8A">
        <w:t xml:space="preserve">obtain anecdotal market feedback </w:t>
      </w:r>
    </w:p>
    <w:p w14:paraId="73459784" w14:textId="6C02B975" w:rsidR="00185AC3" w:rsidRDefault="00185AC3" w:rsidP="0087769A">
      <w:pPr>
        <w:spacing w:line="276" w:lineRule="auto"/>
        <w:jc w:val="both"/>
      </w:pPr>
      <w:r w:rsidRPr="003F5F8A">
        <w:t xml:space="preserve">In doing so, the DSB has determined that while a great deal of public information is available about the OTC derivatives market, the information available is insufficiently granular </w:t>
      </w:r>
      <w:r>
        <w:t xml:space="preserve">to allow for </w:t>
      </w:r>
      <w:r w:rsidRPr="003F5F8A">
        <w:t>meaningful</w:t>
      </w:r>
      <w:r w:rsidRPr="009F5C43">
        <w:t xml:space="preserve"> </w:t>
      </w:r>
      <w:r>
        <w:t xml:space="preserve">estimation of the list of users seeking to connect to the DSB, particularly in light of the varying user workflows available to the user, as described in section </w:t>
      </w:r>
      <w:r>
        <w:fldChar w:fldCharType="begin"/>
      </w:r>
      <w:r>
        <w:instrText xml:space="preserve"> REF _Ref60648775 \r \h </w:instrText>
      </w:r>
      <w:r w:rsidR="0048715D">
        <w:instrText xml:space="preserve"> \* MERGEFORMAT </w:instrText>
      </w:r>
      <w:r>
        <w:fldChar w:fldCharType="separate"/>
      </w:r>
      <w:r>
        <w:t>4.1</w:t>
      </w:r>
      <w:r>
        <w:fldChar w:fldCharType="end"/>
      </w:r>
      <w:r>
        <w:t xml:space="preserve"> of this paper</w:t>
      </w:r>
      <w:r w:rsidRPr="00DC6784">
        <w:t xml:space="preserve">. Analysis and research undertaken by the DSB has thus relied upon </w:t>
      </w:r>
      <w:proofErr w:type="spellStart"/>
      <w:r w:rsidRPr="00DC6784">
        <w:t>comparables</w:t>
      </w:r>
      <w:proofErr w:type="spellEnd"/>
      <w:r w:rsidRPr="00DC6784">
        <w:t xml:space="preserve"> based on a variety of input variables, with the resulting data points helping determine the hypothesis being taken forward. </w:t>
      </w:r>
    </w:p>
    <w:p w14:paraId="4FD2925F" w14:textId="77777777" w:rsidR="00185AC3" w:rsidRPr="003F5F8A" w:rsidRDefault="00185AC3" w:rsidP="0087769A">
      <w:pPr>
        <w:spacing w:after="200" w:line="276" w:lineRule="auto"/>
        <w:jc w:val="both"/>
      </w:pPr>
      <w:r w:rsidRPr="003F5F8A">
        <w:t xml:space="preserve">Key drivers factoring into the DSB’s estimated user numbers are: </w:t>
      </w:r>
    </w:p>
    <w:p w14:paraId="5C46243F" w14:textId="77777777" w:rsidR="00185AC3" w:rsidRPr="003F5F8A" w:rsidRDefault="00185AC3" w:rsidP="00C873AF">
      <w:pPr>
        <w:pStyle w:val="ListParagraph"/>
        <w:numPr>
          <w:ilvl w:val="0"/>
          <w:numId w:val="4"/>
        </w:numPr>
        <w:spacing w:line="276" w:lineRule="auto"/>
        <w:ind w:left="284" w:hanging="284"/>
        <w:jc w:val="both"/>
      </w:pPr>
      <w:r w:rsidRPr="003F5F8A">
        <w:t xml:space="preserve">Regulatory expectation: </w:t>
      </w:r>
    </w:p>
    <w:p w14:paraId="09E967A5" w14:textId="77777777" w:rsidR="00185AC3" w:rsidRPr="003F5F8A" w:rsidRDefault="00185AC3" w:rsidP="00C873AF">
      <w:pPr>
        <w:pStyle w:val="ListParagraph"/>
        <w:numPr>
          <w:ilvl w:val="1"/>
          <w:numId w:val="4"/>
        </w:numPr>
        <w:spacing w:line="276" w:lineRule="auto"/>
        <w:ind w:left="709" w:hanging="425"/>
        <w:jc w:val="both"/>
      </w:pPr>
      <w:r w:rsidRPr="003F5F8A">
        <w:t xml:space="preserve">There is an expectation of up to 120,000 entities reporting a UPI based on transaction reports currently being submitted in a variety of jurisdictions (allowing for the dual sided reporting requirement) </w:t>
      </w:r>
    </w:p>
    <w:p w14:paraId="5A39E7DA" w14:textId="18A2314C" w:rsidR="00185AC3" w:rsidRDefault="00185AC3" w:rsidP="00C873AF">
      <w:pPr>
        <w:pStyle w:val="ListParagraph"/>
        <w:numPr>
          <w:ilvl w:val="1"/>
          <w:numId w:val="4"/>
        </w:numPr>
        <w:spacing w:line="276" w:lineRule="auto"/>
        <w:ind w:left="709" w:hanging="425"/>
        <w:jc w:val="both"/>
      </w:pPr>
      <w:r w:rsidRPr="003F5F8A">
        <w:t xml:space="preserve">Using the DSB’s experience (see </w:t>
      </w:r>
      <w:r>
        <w:t xml:space="preserve">DSB assumptions </w:t>
      </w:r>
      <w:r w:rsidRPr="003F5F8A">
        <w:t xml:space="preserve">below) regulatory feedback suggests that approximately 18,000 organizations may become paid users of the DSB’s UPI service, as the average </w:t>
      </w:r>
      <w:r w:rsidR="00E71BBE">
        <w:t xml:space="preserve">existing </w:t>
      </w:r>
      <w:r w:rsidRPr="003F5F8A">
        <w:t xml:space="preserve">DSB user has just under 7 affiliates. </w:t>
      </w:r>
    </w:p>
    <w:p w14:paraId="7A8077E6" w14:textId="524AF494" w:rsidR="00185AC3" w:rsidRPr="003F5F8A" w:rsidRDefault="00185AC3" w:rsidP="00C873AF">
      <w:pPr>
        <w:pStyle w:val="ListParagraph"/>
        <w:numPr>
          <w:ilvl w:val="1"/>
          <w:numId w:val="4"/>
        </w:numPr>
        <w:spacing w:line="276" w:lineRule="auto"/>
        <w:ind w:left="709" w:hanging="425"/>
        <w:jc w:val="both"/>
      </w:pPr>
      <w:r w:rsidRPr="003F5F8A">
        <w:t>Similarly, looking at the split between the different types of users and the proposal set out in question</w:t>
      </w:r>
      <w:r>
        <w:t>s</w:t>
      </w:r>
      <w:r w:rsidRPr="003F5F8A">
        <w:t xml:space="preserve"> </w:t>
      </w:r>
      <w:r>
        <w:fldChar w:fldCharType="begin"/>
      </w:r>
      <w:r>
        <w:instrText xml:space="preserve"> REF _Ref60652480 \r \h </w:instrText>
      </w:r>
      <w:r w:rsidR="0048715D">
        <w:instrText xml:space="preserve"> \* MERGEFORMAT </w:instrText>
      </w:r>
      <w:r>
        <w:fldChar w:fldCharType="separate"/>
      </w:r>
      <w:r>
        <w:t>5.2</w:t>
      </w:r>
      <w:r>
        <w:fldChar w:fldCharType="end"/>
      </w:r>
      <w:r>
        <w:t xml:space="preserve">, </w:t>
      </w:r>
      <w:r>
        <w:fldChar w:fldCharType="begin"/>
      </w:r>
      <w:r>
        <w:instrText xml:space="preserve"> REF _Ref60652484 \r \h </w:instrText>
      </w:r>
      <w:r w:rsidR="0048715D">
        <w:instrText xml:space="preserve"> \* MERGEFORMAT </w:instrText>
      </w:r>
      <w:r>
        <w:fldChar w:fldCharType="separate"/>
      </w:r>
      <w:r>
        <w:t>5.3</w:t>
      </w:r>
      <w:r>
        <w:fldChar w:fldCharType="end"/>
      </w:r>
      <w:r>
        <w:t xml:space="preserve">, and </w:t>
      </w:r>
      <w:r>
        <w:fldChar w:fldCharType="begin"/>
      </w:r>
      <w:r>
        <w:instrText xml:space="preserve"> REF _Ref60652486 \r \h </w:instrText>
      </w:r>
      <w:r w:rsidR="0048715D">
        <w:instrText xml:space="preserve"> \* MERGEFORMAT </w:instrText>
      </w:r>
      <w:r>
        <w:fldChar w:fldCharType="separate"/>
      </w:r>
      <w:r>
        <w:t>5.4</w:t>
      </w:r>
      <w:r>
        <w:fldChar w:fldCharType="end"/>
      </w:r>
      <w:r w:rsidRPr="003F5F8A">
        <w:t xml:space="preserve"> below, it can be assumed that 60% (almost 11,000 institutions) may be expected to connect programmatically, with the remaining connected as paid users of the web-front service that facilitates manual access</w:t>
      </w:r>
    </w:p>
    <w:p w14:paraId="2D84AD5D" w14:textId="7174C717" w:rsidR="00185AC3" w:rsidRDefault="00185AC3" w:rsidP="00C873AF">
      <w:pPr>
        <w:pStyle w:val="ListParagraph"/>
        <w:numPr>
          <w:ilvl w:val="1"/>
          <w:numId w:val="4"/>
        </w:numPr>
        <w:spacing w:after="120" w:line="276" w:lineRule="auto"/>
        <w:ind w:left="709" w:hanging="425"/>
        <w:contextualSpacing w:val="0"/>
        <w:jc w:val="both"/>
      </w:pPr>
      <w:r w:rsidRPr="003F5F8A">
        <w:t xml:space="preserve">Several countries note that that a concentration of reporting entities exists, although there is a significant spectrum of firms that submit high volumes of transaction reports, with 22 firms submitting 90% of all reports in one jurisdiction (of a total of approximately 2,000 reporting entities), and 160 entities submitting 80% of all reports in another. </w:t>
      </w:r>
    </w:p>
    <w:p w14:paraId="55FB9789" w14:textId="77777777" w:rsidR="00185AC3" w:rsidRPr="003F5F8A" w:rsidRDefault="00185AC3" w:rsidP="00C873AF">
      <w:pPr>
        <w:pStyle w:val="ListParagraph"/>
        <w:numPr>
          <w:ilvl w:val="1"/>
          <w:numId w:val="4"/>
        </w:numPr>
        <w:spacing w:after="120" w:line="276" w:lineRule="auto"/>
        <w:ind w:left="709" w:hanging="425"/>
        <w:contextualSpacing w:val="0"/>
        <w:jc w:val="both"/>
      </w:pPr>
      <w:r>
        <w:t>As a guide, it is worth considering that a parent organization connected to the DSB can have multiple legal entities that use the identifier</w:t>
      </w:r>
      <w:r>
        <w:rPr>
          <w:rStyle w:val="FootnoteReference"/>
        </w:rPr>
        <w:footnoteReference w:id="42"/>
      </w:r>
      <w:r>
        <w:t xml:space="preserve">, and thus </w:t>
      </w:r>
      <w:proofErr w:type="gramStart"/>
      <w:r>
        <w:t>a large number of</w:t>
      </w:r>
      <w:proofErr w:type="gramEnd"/>
      <w:r>
        <w:t xml:space="preserve"> individual users that may need to be onboarded by the DSB itself, subject to the preferred workflow of the organization as described earlier in this paper. </w:t>
      </w:r>
    </w:p>
    <w:p w14:paraId="2FF138F0" w14:textId="77777777" w:rsidR="00185AC3" w:rsidRPr="003F5F8A" w:rsidRDefault="00185AC3" w:rsidP="00C873AF">
      <w:pPr>
        <w:pStyle w:val="ListParagraph"/>
        <w:numPr>
          <w:ilvl w:val="0"/>
          <w:numId w:val="4"/>
        </w:numPr>
        <w:spacing w:line="276" w:lineRule="auto"/>
        <w:ind w:left="284" w:hanging="284"/>
        <w:jc w:val="both"/>
      </w:pPr>
      <w:r w:rsidRPr="003F5F8A">
        <w:t xml:space="preserve">Anecdotal feedback from industry: </w:t>
      </w:r>
    </w:p>
    <w:p w14:paraId="7C3CDDE9" w14:textId="77777777" w:rsidR="00C873AF" w:rsidRDefault="00185AC3" w:rsidP="00C873AF">
      <w:pPr>
        <w:pStyle w:val="ListParagraph"/>
        <w:numPr>
          <w:ilvl w:val="1"/>
          <w:numId w:val="4"/>
        </w:numPr>
        <w:spacing w:after="120" w:line="276" w:lineRule="auto"/>
        <w:ind w:left="709" w:hanging="425"/>
        <w:contextualSpacing w:val="0"/>
        <w:jc w:val="both"/>
      </w:pPr>
      <w:r w:rsidRPr="003F5F8A">
        <w:t xml:space="preserve">Here too there is no meaningful consensus, with the spectrum varying by the type of institution that provided feedback. </w:t>
      </w:r>
    </w:p>
    <w:p w14:paraId="542224AE" w14:textId="3F78114F" w:rsidR="00185AC3" w:rsidRPr="003F5F8A" w:rsidRDefault="00185AC3" w:rsidP="00C873AF">
      <w:pPr>
        <w:pStyle w:val="ListParagraph"/>
        <w:numPr>
          <w:ilvl w:val="1"/>
          <w:numId w:val="4"/>
        </w:numPr>
        <w:spacing w:after="120" w:line="276" w:lineRule="auto"/>
        <w:ind w:left="709" w:hanging="425"/>
        <w:contextualSpacing w:val="0"/>
        <w:jc w:val="both"/>
      </w:pPr>
      <w:r w:rsidRPr="003F5F8A">
        <w:t xml:space="preserve">In broad terms, </w:t>
      </w:r>
      <w:r>
        <w:t xml:space="preserve">industry </w:t>
      </w:r>
      <w:r w:rsidRPr="003F5F8A">
        <w:t xml:space="preserve">participants </w:t>
      </w:r>
      <w:r>
        <w:t xml:space="preserve">involved in global regulatory reporting of OTC derivatives </w:t>
      </w:r>
      <w:r w:rsidRPr="003F5F8A">
        <w:t>noted their expectation of between 3k and 4k legal entities at parent level, representing approximately 40k entities when affiliates are accounted for</w:t>
      </w:r>
    </w:p>
    <w:p w14:paraId="3CE60AB7" w14:textId="77777777" w:rsidR="00185AC3" w:rsidRPr="003F5F8A" w:rsidRDefault="00185AC3" w:rsidP="00C873AF">
      <w:pPr>
        <w:pStyle w:val="ListParagraph"/>
        <w:numPr>
          <w:ilvl w:val="0"/>
          <w:numId w:val="4"/>
        </w:numPr>
        <w:spacing w:line="276" w:lineRule="auto"/>
        <w:ind w:left="284" w:hanging="284"/>
        <w:jc w:val="both"/>
      </w:pPr>
      <w:r w:rsidRPr="003F5F8A">
        <w:t xml:space="preserve">DSB assumptions based on first principles analysis: </w:t>
      </w:r>
    </w:p>
    <w:p w14:paraId="6035F0B6" w14:textId="77777777" w:rsidR="00185AC3" w:rsidRPr="003F5F8A" w:rsidRDefault="00185AC3" w:rsidP="00C873AF">
      <w:pPr>
        <w:pStyle w:val="ListParagraph"/>
        <w:numPr>
          <w:ilvl w:val="1"/>
          <w:numId w:val="4"/>
        </w:numPr>
        <w:spacing w:after="120" w:line="276" w:lineRule="auto"/>
        <w:ind w:left="709" w:hanging="425"/>
        <w:contextualSpacing w:val="0"/>
        <w:jc w:val="both"/>
      </w:pPr>
      <w:r w:rsidRPr="003F5F8A">
        <w:t>Predicated on the data held by the DSB in the three years since launch of the OTC ISIN service</w:t>
      </w:r>
    </w:p>
    <w:p w14:paraId="106054FB" w14:textId="77777777" w:rsidR="00185AC3" w:rsidRPr="003F5F8A" w:rsidRDefault="00185AC3" w:rsidP="00C873AF">
      <w:pPr>
        <w:pStyle w:val="ListParagraph"/>
        <w:numPr>
          <w:ilvl w:val="1"/>
          <w:numId w:val="4"/>
        </w:numPr>
        <w:spacing w:after="120" w:line="276" w:lineRule="auto"/>
        <w:ind w:left="709" w:hanging="425"/>
        <w:contextualSpacing w:val="0"/>
        <w:jc w:val="both"/>
      </w:pPr>
      <w:r w:rsidRPr="003F5F8A">
        <w:t>At the start of 2021 the DSB has 124 organizations, representing approximately 830 entities as paid users of the service (</w:t>
      </w:r>
      <w:proofErr w:type="gramStart"/>
      <w:r w:rsidRPr="003F5F8A">
        <w:t>i.e.</w:t>
      </w:r>
      <w:proofErr w:type="gramEnd"/>
      <w:r w:rsidRPr="003F5F8A">
        <w:t xml:space="preserve"> can create or search for data</w:t>
      </w:r>
      <w:r>
        <w:t xml:space="preserve"> – either programmatically or via </w:t>
      </w:r>
      <w:r>
        <w:lastRenderedPageBreak/>
        <w:t>the web-front end</w:t>
      </w:r>
      <w:r w:rsidRPr="003F5F8A">
        <w:t>, and download end of day files), with a further 300 entities as users of the free service (can connect to manually search for data and download end of day files)</w:t>
      </w:r>
    </w:p>
    <w:p w14:paraId="5AA8D302" w14:textId="7AADCCD2" w:rsidR="00185AC3" w:rsidRPr="003F5F8A" w:rsidRDefault="00185AC3" w:rsidP="00C873AF">
      <w:pPr>
        <w:pStyle w:val="ListParagraph"/>
        <w:numPr>
          <w:ilvl w:val="1"/>
          <w:numId w:val="4"/>
        </w:numPr>
        <w:spacing w:after="120" w:line="276" w:lineRule="auto"/>
        <w:ind w:left="709" w:hanging="425"/>
        <w:contextualSpacing w:val="0"/>
        <w:jc w:val="both"/>
      </w:pPr>
      <w:r>
        <w:t xml:space="preserve">The </w:t>
      </w:r>
      <w:r w:rsidRPr="003F5F8A">
        <w:t>DSB</w:t>
      </w:r>
      <w:r>
        <w:t>’s</w:t>
      </w:r>
      <w:r w:rsidRPr="003F5F8A">
        <w:t xml:space="preserve"> </w:t>
      </w:r>
      <w:r w:rsidR="00457089">
        <w:t xml:space="preserve">initial </w:t>
      </w:r>
      <w:r w:rsidRPr="003F5F8A">
        <w:t xml:space="preserve">projections </w:t>
      </w:r>
      <w:r w:rsidR="001D7629">
        <w:t xml:space="preserve">(ahead of obtaining </w:t>
      </w:r>
      <w:r w:rsidR="0089492A">
        <w:t>regulatory</w:t>
      </w:r>
      <w:r w:rsidR="001D7629">
        <w:t xml:space="preserve"> feedback) </w:t>
      </w:r>
      <w:r w:rsidRPr="003F5F8A">
        <w:t>indicate that approximately 2,000 organizations, representing 13,300 legal entities (</w:t>
      </w:r>
      <w:r w:rsidR="00F06D13" w:rsidRPr="003F5F8A">
        <w:t>i.e.,</w:t>
      </w:r>
      <w:r w:rsidRPr="003F5F8A">
        <w:t xml:space="preserve"> including affiliates) may be expected to connect on a programmatic basis, and that a further 14,000 organizations representing 93,000 legal entities will connect to the manual service on a paid basis (</w:t>
      </w:r>
      <w:proofErr w:type="gramStart"/>
      <w:r w:rsidRPr="003F5F8A">
        <w:t>i.e.</w:t>
      </w:r>
      <w:proofErr w:type="gramEnd"/>
      <w:r w:rsidRPr="003F5F8A">
        <w:t xml:space="preserve"> to create data using the DSB web front end). On this basis, extrapolating the number of free users of the service based on the current ratio of paid to free users of the OTC ISIN service, the DSB anticipates that a further 36,000 organizations are likely to connect to the UPI Reference Data Library for search and download of UPI records. </w:t>
      </w:r>
    </w:p>
    <w:p w14:paraId="19B3EBEA" w14:textId="77777777" w:rsidR="00185AC3" w:rsidRPr="003F5F8A" w:rsidRDefault="00185AC3" w:rsidP="00C1588F">
      <w:pPr>
        <w:spacing w:line="276" w:lineRule="auto"/>
        <w:jc w:val="both"/>
        <w:rPr>
          <w:b/>
          <w:u w:val="single"/>
        </w:rPr>
      </w:pPr>
      <w:r w:rsidRPr="003F5F8A">
        <w:rPr>
          <w:b/>
          <w:u w:val="single"/>
        </w:rPr>
        <w:t>DSB Proposal:</w:t>
      </w:r>
    </w:p>
    <w:p w14:paraId="266E30F9" w14:textId="77777777" w:rsidR="00185AC3" w:rsidRPr="009F5C43" w:rsidRDefault="00185AC3" w:rsidP="00C1588F">
      <w:pPr>
        <w:spacing w:line="276" w:lineRule="auto"/>
        <w:jc w:val="both"/>
      </w:pPr>
      <w:r w:rsidRPr="009F5C43">
        <w:t>As regulatory feedback is predicated on current user reporting practice</w:t>
      </w:r>
      <w:r>
        <w:t xml:space="preserve"> and is thus deemed to be the most accurate data source currently available</w:t>
      </w:r>
      <w:r w:rsidRPr="009F5C43">
        <w:t>, the DSB proposes to move forward on the following assumptions</w:t>
      </w:r>
      <w:r>
        <w:t xml:space="preserve"> based on the assumption of 18,000 organizations that may become paid users of the DSB’s UPI service as cited above</w:t>
      </w:r>
      <w:r w:rsidRPr="009F5C43">
        <w:t xml:space="preserve">: </w:t>
      </w:r>
    </w:p>
    <w:p w14:paraId="6C598670" w14:textId="77777777" w:rsidR="00185AC3" w:rsidRPr="003F5F8A" w:rsidRDefault="00185AC3" w:rsidP="0048715D">
      <w:pPr>
        <w:pStyle w:val="ListParagraph"/>
        <w:numPr>
          <w:ilvl w:val="0"/>
          <w:numId w:val="4"/>
        </w:numPr>
        <w:spacing w:line="276" w:lineRule="auto"/>
        <w:jc w:val="both"/>
      </w:pPr>
      <w:r w:rsidRPr="003F5F8A">
        <w:t xml:space="preserve">12,000 organizations representing 80.5k legal entities will pay to connect programmatically </w:t>
      </w:r>
    </w:p>
    <w:p w14:paraId="4187698E" w14:textId="77777777" w:rsidR="00185AC3" w:rsidRDefault="00185AC3" w:rsidP="0048715D">
      <w:pPr>
        <w:pStyle w:val="ListParagraph"/>
        <w:numPr>
          <w:ilvl w:val="0"/>
          <w:numId w:val="4"/>
        </w:numPr>
        <w:spacing w:line="276" w:lineRule="auto"/>
        <w:jc w:val="both"/>
      </w:pPr>
      <w:r w:rsidRPr="003F5F8A">
        <w:t xml:space="preserve">8,000 organizations representing 53k legal entities will pay to connect manually </w:t>
      </w:r>
    </w:p>
    <w:p w14:paraId="02E93199" w14:textId="77777777" w:rsidR="00185AC3" w:rsidRPr="003F5F8A" w:rsidRDefault="00185AC3" w:rsidP="0087769A">
      <w:pPr>
        <w:pStyle w:val="ListParagraph"/>
        <w:numPr>
          <w:ilvl w:val="0"/>
          <w:numId w:val="4"/>
        </w:numPr>
        <w:spacing w:line="276" w:lineRule="auto"/>
        <w:jc w:val="both"/>
      </w:pPr>
      <w:r>
        <w:t xml:space="preserve">20,000 organizations representing 133.5k legal entities will connect free of cost  </w:t>
      </w:r>
    </w:p>
    <w:p w14:paraId="47207939" w14:textId="77777777" w:rsidR="00185AC3" w:rsidRPr="00075FF5" w:rsidRDefault="00185AC3" w:rsidP="0087769A">
      <w:pPr>
        <w:pStyle w:val="ETSNORMAL10pt"/>
        <w:spacing w:line="276" w:lineRule="auto"/>
        <w:rPr>
          <w:lang w:val="en-GB"/>
        </w:rPr>
      </w:pPr>
    </w:p>
    <w:p w14:paraId="43D753DB" w14:textId="77777777" w:rsidR="00185AC3" w:rsidRDefault="00185AC3" w:rsidP="00C1588F">
      <w:pPr>
        <w:pStyle w:val="Heading2"/>
        <w:spacing w:before="0" w:line="276" w:lineRule="auto"/>
      </w:pPr>
      <w:bookmarkStart w:id="104" w:name="_Toc60651786"/>
      <w:bookmarkStart w:id="105" w:name="_Ref60652480"/>
      <w:bookmarkStart w:id="106" w:name="_Toc61255930"/>
      <w:r>
        <w:rPr>
          <w:noProof/>
          <w:lang w:eastAsia="en-GB"/>
        </w:rPr>
        <mc:AlternateContent>
          <mc:Choice Requires="wps">
            <w:drawing>
              <wp:anchor distT="45720" distB="45720" distL="114300" distR="114300" simplePos="0" relativeHeight="251650560" behindDoc="0" locked="0" layoutInCell="1" allowOverlap="1" wp14:anchorId="2F0F0E3C" wp14:editId="6FA1E53E">
                <wp:simplePos x="0" y="0"/>
                <wp:positionH relativeFrom="margin">
                  <wp:posOffset>-15240</wp:posOffset>
                </wp:positionH>
                <wp:positionV relativeFrom="paragraph">
                  <wp:posOffset>265430</wp:posOffset>
                </wp:positionV>
                <wp:extent cx="5716905" cy="2256155"/>
                <wp:effectExtent l="0" t="0" r="1714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256155"/>
                        </a:xfrm>
                        <a:prstGeom prst="rect">
                          <a:avLst/>
                        </a:prstGeom>
                        <a:solidFill>
                          <a:srgbClr val="FFFFFF"/>
                        </a:solidFill>
                        <a:ln w="9525">
                          <a:solidFill>
                            <a:srgbClr val="04AEB9"/>
                          </a:solidFill>
                          <a:miter lim="800000"/>
                          <a:headEnd/>
                          <a:tailEnd/>
                        </a:ln>
                      </wps:spPr>
                      <wps:txbx>
                        <w:txbxContent>
                          <w:p w14:paraId="55D5AF6F" w14:textId="77777777" w:rsidR="00185AC3" w:rsidRPr="0076032B" w:rsidRDefault="00185AC3" w:rsidP="00185AC3">
                            <w:pPr>
                              <w:pStyle w:val="paragraph"/>
                              <w:spacing w:before="240" w:beforeAutospacing="0" w:after="120" w:afterAutospacing="0" w:line="276" w:lineRule="auto"/>
                              <w:textAlignment w:val="baseline"/>
                              <w:rPr>
                                <w:rStyle w:val="normaltextrun"/>
                                <w:rFonts w:asciiTheme="minorHAnsi" w:hAnsiTheme="minorHAnsi" w:cstheme="minorHAnsi"/>
                                <w:color w:val="000000"/>
                                <w:sz w:val="22"/>
                                <w:szCs w:val="22"/>
                              </w:rPr>
                            </w:pPr>
                            <w:r>
                              <w:rPr>
                                <w:rStyle w:val="normaltextrun"/>
                                <w:rFonts w:ascii="Calibri" w:hAnsi="Calibri" w:cs="Calibri"/>
                                <w:b/>
                                <w:color w:val="000000"/>
                                <w:sz w:val="22"/>
                                <w:szCs w:val="22"/>
                              </w:rPr>
                              <w:t>Summary</w:t>
                            </w:r>
                            <w:r w:rsidRPr="0076032B">
                              <w:rPr>
                                <w:rStyle w:val="normaltextrun"/>
                                <w:rFonts w:asciiTheme="minorHAnsi" w:hAnsiTheme="minorHAnsi" w:cstheme="minorHAnsi"/>
                                <w:b/>
                                <w:color w:val="000000"/>
                                <w:sz w:val="22"/>
                                <w:szCs w:val="22"/>
                              </w:rPr>
                              <w:t xml:space="preserve">: </w:t>
                            </w:r>
                            <w:r>
                              <w:rPr>
                                <w:rStyle w:val="normaltextrun"/>
                                <w:rFonts w:ascii="Calibri" w:hAnsi="Calibri" w:cs="Calibri"/>
                                <w:color w:val="000000"/>
                                <w:sz w:val="22"/>
                                <w:szCs w:val="22"/>
                              </w:rPr>
                              <w:t xml:space="preserve">The DSB anticipates that users will require support for three types of workflows, subject to their regulatory needs. Some users will only require the ability to create, search for and/or download the UPI reference data record, whilst a second category may only require the ability to create, search for and/or download the OTC ISIN, and a third set of (likely global) participants are likely to have reporting needs that require either the UPI or the OTC ISIN, subject to their reporting jurisdiction.   </w:t>
                            </w:r>
                          </w:p>
                          <w:p w14:paraId="01B8068D" w14:textId="77777777" w:rsidR="00185AC3" w:rsidRDefault="00185AC3" w:rsidP="00185AC3">
                            <w:pPr>
                              <w:rPr>
                                <w:rStyle w:val="normaltextrun"/>
                                <w:rFonts w:cstheme="minorHAnsi"/>
                                <w:b/>
                                <w:color w:val="000000"/>
                              </w:rPr>
                            </w:pPr>
                            <w:r w:rsidRPr="0076032B">
                              <w:rPr>
                                <w:rStyle w:val="normaltextrun"/>
                                <w:rFonts w:cstheme="minorHAnsi"/>
                                <w:b/>
                                <w:bCs/>
                                <w:color w:val="000000"/>
                              </w:rPr>
                              <w:t>Question</w:t>
                            </w:r>
                            <w:r>
                              <w:rPr>
                                <w:rStyle w:val="normaltextrun"/>
                                <w:rFonts w:cstheme="minorHAnsi"/>
                                <w:b/>
                                <w:bCs/>
                                <w:color w:val="000000"/>
                              </w:rPr>
                              <w:t xml:space="preserve"> 2</w:t>
                            </w:r>
                            <w:r w:rsidRPr="0076032B">
                              <w:rPr>
                                <w:rStyle w:val="normaltextrun"/>
                                <w:rFonts w:cstheme="minorHAnsi"/>
                                <w:b/>
                                <w:bCs/>
                                <w:color w:val="000000"/>
                              </w:rPr>
                              <w:t xml:space="preserve">: </w:t>
                            </w:r>
                            <w:r w:rsidRPr="00E63BBE">
                              <w:rPr>
                                <w:rStyle w:val="normaltextrun"/>
                                <w:rFonts w:cstheme="minorHAnsi"/>
                                <w:b/>
                                <w:i/>
                                <w:color w:val="000000"/>
                              </w:rPr>
                              <w:t>Do you concur with the anticipated workflows presented below?</w:t>
                            </w:r>
                            <w:r w:rsidRPr="00E63BBE">
                              <w:rPr>
                                <w:rStyle w:val="normaltextrun"/>
                                <w:rFonts w:cstheme="minorHAnsi"/>
                                <w:b/>
                                <w:color w:val="000000"/>
                              </w:rPr>
                              <w:t xml:space="preserve"> </w:t>
                            </w:r>
                          </w:p>
                          <w:p w14:paraId="0BDFFECE" w14:textId="77777777" w:rsidR="00185AC3" w:rsidRPr="00E63BBE" w:rsidRDefault="00185AC3" w:rsidP="00185AC3">
                            <w:pPr>
                              <w:rPr>
                                <w:rStyle w:val="normaltextrun"/>
                                <w:rFonts w:cstheme="minorHAnsi"/>
                                <w:b/>
                                <w:color w:val="000000"/>
                              </w:rPr>
                            </w:pPr>
                            <w:r w:rsidRPr="00264FA9">
                              <w:rPr>
                                <w:rStyle w:val="normaltextrun"/>
                                <w:rFonts w:cstheme="minorHAnsi"/>
                                <w:b/>
                                <w:bCs/>
                                <w:color w:val="000000"/>
                              </w:rPr>
                              <w:t>Question 2b:</w:t>
                            </w:r>
                            <w:r w:rsidRPr="00E63BBE">
                              <w:rPr>
                                <w:rStyle w:val="normaltextrun"/>
                                <w:rFonts w:cstheme="minorHAnsi"/>
                                <w:b/>
                                <w:color w:val="000000"/>
                              </w:rPr>
                              <w:t xml:space="preserve"> </w:t>
                            </w:r>
                            <w:r w:rsidRPr="00E63BBE">
                              <w:rPr>
                                <w:rStyle w:val="normaltextrun"/>
                                <w:rFonts w:cstheme="minorHAnsi"/>
                                <w:b/>
                                <w:i/>
                                <w:color w:val="000000"/>
                              </w:rPr>
                              <w:t>If not, what specific alternate approach do you recommend? Please provide a clear and objective rationale for each alternate approach you recommend.</w:t>
                            </w:r>
                            <w:r w:rsidRPr="00E63BBE">
                              <w:rPr>
                                <w:rStyle w:val="normaltextrun"/>
                                <w:rFonts w:cstheme="minorHAnsi"/>
                                <w:b/>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F0E3C" id="_x0000_s1027" type="#_x0000_t202" style="position:absolute;left:0;text-align:left;margin-left:-1.2pt;margin-top:20.9pt;width:450.15pt;height:177.6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" strokecolor="#04aeb9">
                <v:textbox>
                  <w:txbxContent>
                    <w:p w14:paraId="55D5AF6F" w14:textId="77777777" w:rsidR="00185AC3" w:rsidRPr="0076032B" w:rsidRDefault="00185AC3" w:rsidP="00185AC3">
                      <w:pPr>
                        <w:pStyle w:val="paragraph"/>
                        <w:spacing w:before="240" w:beforeAutospacing="0" w:after="120" w:afterAutospacing="0" w:line="276" w:lineRule="auto"/>
                        <w:textAlignment w:val="baseline"/>
                        <w:rPr>
                          <w:rStyle w:val="normaltextrun"/>
                          <w:rFonts w:asciiTheme="minorHAnsi" w:hAnsiTheme="minorHAnsi" w:cstheme="minorHAnsi"/>
                          <w:color w:val="000000"/>
                          <w:sz w:val="22"/>
                          <w:szCs w:val="22"/>
                        </w:rPr>
                      </w:pPr>
                      <w:r>
                        <w:rPr>
                          <w:rStyle w:val="normaltextrun"/>
                          <w:rFonts w:ascii="Calibri" w:hAnsi="Calibri" w:cs="Calibri"/>
                          <w:b/>
                          <w:color w:val="000000"/>
                          <w:sz w:val="22"/>
                          <w:szCs w:val="22"/>
                        </w:rPr>
                        <w:t>Summary</w:t>
                      </w:r>
                      <w:r w:rsidRPr="0076032B">
                        <w:rPr>
                          <w:rStyle w:val="normaltextrun"/>
                          <w:rFonts w:asciiTheme="minorHAnsi" w:hAnsiTheme="minorHAnsi" w:cstheme="minorHAnsi"/>
                          <w:b/>
                          <w:color w:val="000000"/>
                          <w:sz w:val="22"/>
                          <w:szCs w:val="22"/>
                        </w:rPr>
                        <w:t xml:space="preserve">: </w:t>
                      </w:r>
                      <w:r>
                        <w:rPr>
                          <w:rStyle w:val="normaltextrun"/>
                          <w:rFonts w:ascii="Calibri" w:hAnsi="Calibri" w:cs="Calibri"/>
                          <w:color w:val="000000"/>
                          <w:sz w:val="22"/>
                          <w:szCs w:val="22"/>
                        </w:rPr>
                        <w:t xml:space="preserve">The DSB anticipates that users will require support for three types of workflows, subject to their regulatory needs. Some users will only require the ability to create, search for and/or download the UPI reference data record, whilst a second category may only require the ability to create, search for and/or download the OTC ISIN, and a third set of (likely global) participants are likely to have reporting needs that require either the UPI or the OTC ISIN, subject to their reporting jurisdiction.   </w:t>
                      </w:r>
                    </w:p>
                    <w:p w14:paraId="01B8068D" w14:textId="77777777" w:rsidR="00185AC3" w:rsidRDefault="00185AC3" w:rsidP="00185AC3">
                      <w:pPr>
                        <w:rPr>
                          <w:rStyle w:val="normaltextrun"/>
                          <w:rFonts w:cstheme="minorHAnsi"/>
                          <w:b/>
                          <w:color w:val="000000"/>
                        </w:rPr>
                      </w:pPr>
                      <w:r w:rsidRPr="0076032B">
                        <w:rPr>
                          <w:rStyle w:val="normaltextrun"/>
                          <w:rFonts w:cstheme="minorHAnsi"/>
                          <w:b/>
                          <w:bCs/>
                          <w:color w:val="000000"/>
                        </w:rPr>
                        <w:t>Question</w:t>
                      </w:r>
                      <w:r>
                        <w:rPr>
                          <w:rStyle w:val="normaltextrun"/>
                          <w:rFonts w:cstheme="minorHAnsi"/>
                          <w:b/>
                          <w:bCs/>
                          <w:color w:val="000000"/>
                        </w:rPr>
                        <w:t xml:space="preserve"> 2</w:t>
                      </w:r>
                      <w:r w:rsidRPr="0076032B">
                        <w:rPr>
                          <w:rStyle w:val="normaltextrun"/>
                          <w:rFonts w:cstheme="minorHAnsi"/>
                          <w:b/>
                          <w:bCs/>
                          <w:color w:val="000000"/>
                        </w:rPr>
                        <w:t xml:space="preserve">: </w:t>
                      </w:r>
                      <w:r w:rsidRPr="00E63BBE">
                        <w:rPr>
                          <w:rStyle w:val="normaltextrun"/>
                          <w:rFonts w:cstheme="minorHAnsi"/>
                          <w:b/>
                          <w:i/>
                          <w:color w:val="000000"/>
                        </w:rPr>
                        <w:t>Do you concur with the anticipated workflows presented below?</w:t>
                      </w:r>
                      <w:r w:rsidRPr="00E63BBE">
                        <w:rPr>
                          <w:rStyle w:val="normaltextrun"/>
                          <w:rFonts w:cstheme="minorHAnsi"/>
                          <w:b/>
                          <w:color w:val="000000"/>
                        </w:rPr>
                        <w:t xml:space="preserve"> </w:t>
                      </w:r>
                    </w:p>
                    <w:p w14:paraId="0BDFFECE" w14:textId="77777777" w:rsidR="00185AC3" w:rsidRPr="00E63BBE" w:rsidRDefault="00185AC3" w:rsidP="00185AC3">
                      <w:pPr>
                        <w:rPr>
                          <w:rStyle w:val="normaltextrun"/>
                          <w:rFonts w:cstheme="minorHAnsi"/>
                          <w:b/>
                          <w:color w:val="000000"/>
                        </w:rPr>
                      </w:pPr>
                      <w:r w:rsidRPr="00264FA9">
                        <w:rPr>
                          <w:rStyle w:val="normaltextrun"/>
                          <w:rFonts w:cstheme="minorHAnsi"/>
                          <w:b/>
                          <w:bCs/>
                          <w:color w:val="000000"/>
                        </w:rPr>
                        <w:t>Question 2b:</w:t>
                      </w:r>
                      <w:r w:rsidRPr="00E63BBE">
                        <w:rPr>
                          <w:rStyle w:val="normaltextrun"/>
                          <w:rFonts w:cstheme="minorHAnsi"/>
                          <w:b/>
                          <w:color w:val="000000"/>
                        </w:rPr>
                        <w:t xml:space="preserve"> </w:t>
                      </w:r>
                      <w:r w:rsidRPr="00E63BBE">
                        <w:rPr>
                          <w:rStyle w:val="normaltextrun"/>
                          <w:rFonts w:cstheme="minorHAnsi"/>
                          <w:b/>
                          <w:i/>
                          <w:color w:val="000000"/>
                        </w:rPr>
                        <w:t>If not, what specific alternate approach do you recommend? Please provide a clear and objective rationale for each alternate approach you recommend.</w:t>
                      </w:r>
                      <w:r w:rsidRPr="00E63BBE">
                        <w:rPr>
                          <w:rStyle w:val="normaltextrun"/>
                          <w:rFonts w:cstheme="minorHAnsi"/>
                          <w:b/>
                          <w:color w:val="000000"/>
                        </w:rPr>
                        <w:t xml:space="preserve"> </w:t>
                      </w:r>
                    </w:p>
                  </w:txbxContent>
                </v:textbox>
                <w10:wrap type="square" anchorx="margin"/>
              </v:shape>
            </w:pict>
          </mc:Fallback>
        </mc:AlternateContent>
      </w:r>
      <w:r>
        <w:t>Q2 – Forecast User Interaction with the DSB</w:t>
      </w:r>
      <w:bookmarkEnd w:id="104"/>
      <w:bookmarkEnd w:id="105"/>
      <w:bookmarkEnd w:id="106"/>
      <w:r>
        <w:t xml:space="preserve"> </w:t>
      </w:r>
    </w:p>
    <w:p w14:paraId="36B8C25D" w14:textId="77777777" w:rsidR="00185AC3" w:rsidRPr="003F5F8A" w:rsidRDefault="00185AC3" w:rsidP="00C1588F">
      <w:pPr>
        <w:spacing w:line="276" w:lineRule="auto"/>
        <w:jc w:val="both"/>
        <w:rPr>
          <w:u w:val="single"/>
        </w:rPr>
      </w:pPr>
      <w:r w:rsidRPr="003F5F8A">
        <w:rPr>
          <w:u w:val="single"/>
        </w:rPr>
        <w:t>Supporting Information:</w:t>
      </w:r>
    </w:p>
    <w:p w14:paraId="69054066" w14:textId="77777777" w:rsidR="00185AC3" w:rsidRPr="003F5F8A" w:rsidRDefault="00185AC3" w:rsidP="00C1588F">
      <w:pPr>
        <w:spacing w:after="0" w:line="276" w:lineRule="auto"/>
        <w:jc w:val="both"/>
      </w:pPr>
      <w:r w:rsidRPr="009F5C43">
        <w:t>The DSB anticipates that following launch of the UPI service, users will connect to the DSB service to support one of three needs</w:t>
      </w:r>
      <w:r w:rsidRPr="003F5F8A">
        <w:t xml:space="preserve">: </w:t>
      </w:r>
    </w:p>
    <w:p w14:paraId="0984885D" w14:textId="77777777" w:rsidR="00185AC3" w:rsidRPr="003F5F8A" w:rsidRDefault="00185AC3" w:rsidP="0048715D">
      <w:pPr>
        <w:pStyle w:val="ListParagraph"/>
        <w:numPr>
          <w:ilvl w:val="0"/>
          <w:numId w:val="4"/>
        </w:numPr>
        <w:spacing w:line="276" w:lineRule="auto"/>
        <w:jc w:val="both"/>
      </w:pPr>
      <w:r w:rsidRPr="003F5F8A">
        <w:t xml:space="preserve">Organizations that only require access to the UPI and the UPI record </w:t>
      </w:r>
    </w:p>
    <w:p w14:paraId="3C6FFC33" w14:textId="77777777" w:rsidR="00185AC3" w:rsidRPr="003F5F8A" w:rsidRDefault="00185AC3" w:rsidP="0087769A">
      <w:pPr>
        <w:pStyle w:val="ListParagraph"/>
        <w:numPr>
          <w:ilvl w:val="0"/>
          <w:numId w:val="4"/>
        </w:numPr>
        <w:spacing w:line="276" w:lineRule="auto"/>
        <w:jc w:val="both"/>
      </w:pPr>
      <w:r w:rsidRPr="003F5F8A">
        <w:t xml:space="preserve">Organizations that only require access to the OTC ISIN, CFI and FISN and the OTC ISIN record (the current DSB service) </w:t>
      </w:r>
    </w:p>
    <w:p w14:paraId="2F2B1502" w14:textId="77777777" w:rsidR="00185AC3" w:rsidRPr="003F5F8A" w:rsidRDefault="00185AC3" w:rsidP="0087769A">
      <w:pPr>
        <w:pStyle w:val="ListParagraph"/>
        <w:numPr>
          <w:ilvl w:val="0"/>
          <w:numId w:val="4"/>
        </w:numPr>
        <w:spacing w:line="276" w:lineRule="auto"/>
        <w:jc w:val="both"/>
      </w:pPr>
      <w:r w:rsidRPr="003F5F8A">
        <w:t xml:space="preserve">Organizations that require access to the full suite of UPI, CFI, FISN, and OTC ISIN </w:t>
      </w:r>
      <w:proofErr w:type="gramStart"/>
      <w:r w:rsidRPr="003F5F8A">
        <w:t>in light of</w:t>
      </w:r>
      <w:proofErr w:type="gramEnd"/>
      <w:r w:rsidRPr="003F5F8A">
        <w:t xml:space="preserve"> their global footprint and the commensurate diversity of reporting needs </w:t>
      </w:r>
    </w:p>
    <w:p w14:paraId="22D1B775" w14:textId="7A34228A" w:rsidR="00185AC3" w:rsidRPr="009F5C43" w:rsidRDefault="00185AC3" w:rsidP="00C1588F">
      <w:pPr>
        <w:spacing w:line="276" w:lineRule="auto"/>
        <w:jc w:val="both"/>
      </w:pPr>
      <w:r w:rsidRPr="003F5F8A">
        <w:lastRenderedPageBreak/>
        <w:t>The DSB anticipates that every OTC ISIN record would contain the UPI code as part of the OTC ISIN record itself. S</w:t>
      </w:r>
      <w:r w:rsidRPr="009F5C43">
        <w:t xml:space="preserve">imilarly, the UPI record would be expected to contain a FISN and a CFI code. </w:t>
      </w:r>
      <w:r w:rsidR="00E46CAC">
        <w:t xml:space="preserve">Details regarding the cost allocation methodology for the service are set out in section </w:t>
      </w:r>
      <w:r w:rsidR="00E46CAC">
        <w:fldChar w:fldCharType="begin"/>
      </w:r>
      <w:r w:rsidR="00E46CAC">
        <w:instrText xml:space="preserve"> REF _Ref60925902 \r \h </w:instrText>
      </w:r>
      <w:r w:rsidR="00E46CAC">
        <w:fldChar w:fldCharType="separate"/>
      </w:r>
      <w:r w:rsidR="00E46CAC">
        <w:t>5.5</w:t>
      </w:r>
      <w:r w:rsidR="00E46CAC">
        <w:fldChar w:fldCharType="end"/>
      </w:r>
      <w:r w:rsidR="00E46CAC">
        <w:t xml:space="preserve">. </w:t>
      </w:r>
      <w:r w:rsidRPr="009F5C43">
        <w:t xml:space="preserve">  </w:t>
      </w:r>
    </w:p>
    <w:p w14:paraId="6277D327" w14:textId="77777777" w:rsidR="00185AC3" w:rsidRPr="00DC6784" w:rsidRDefault="00185AC3" w:rsidP="00C1588F">
      <w:pPr>
        <w:spacing w:line="276" w:lineRule="auto"/>
        <w:jc w:val="both"/>
        <w:rPr>
          <w:b/>
          <w:u w:val="single"/>
        </w:rPr>
      </w:pPr>
      <w:r w:rsidRPr="00DC6784">
        <w:rPr>
          <w:b/>
          <w:u w:val="single"/>
        </w:rPr>
        <w:t>DSB Proposal:</w:t>
      </w:r>
    </w:p>
    <w:p w14:paraId="29EC5C3B" w14:textId="77777777" w:rsidR="00185AC3" w:rsidRPr="00DC6784" w:rsidRDefault="00185AC3" w:rsidP="00C1588F">
      <w:pPr>
        <w:spacing w:after="0" w:line="276" w:lineRule="auto"/>
        <w:jc w:val="both"/>
      </w:pPr>
      <w:r w:rsidRPr="00DC6784">
        <w:t xml:space="preserve">It is anticipated that the following data elements would be available in each scenario set out above: </w:t>
      </w:r>
    </w:p>
    <w:p w14:paraId="6B9B0DD6" w14:textId="77777777" w:rsidR="00185AC3" w:rsidRPr="003F5F8A" w:rsidRDefault="00185AC3" w:rsidP="0048715D">
      <w:pPr>
        <w:pStyle w:val="ListParagraph"/>
        <w:numPr>
          <w:ilvl w:val="0"/>
          <w:numId w:val="4"/>
        </w:numPr>
        <w:spacing w:line="276" w:lineRule="auto"/>
        <w:jc w:val="both"/>
      </w:pPr>
      <w:r w:rsidRPr="003F5F8A">
        <w:t>Organizations that only require access to the UPI – would obtain a UPI reference data record containing all input and derived data elements associated with the UPI</w:t>
      </w:r>
    </w:p>
    <w:p w14:paraId="366EB2BE" w14:textId="77777777" w:rsidR="00185AC3" w:rsidRPr="003F5F8A" w:rsidRDefault="00185AC3" w:rsidP="0087769A">
      <w:pPr>
        <w:pStyle w:val="ListParagraph"/>
        <w:numPr>
          <w:ilvl w:val="0"/>
          <w:numId w:val="4"/>
        </w:numPr>
        <w:spacing w:line="276" w:lineRule="auto"/>
        <w:jc w:val="both"/>
      </w:pPr>
      <w:r w:rsidRPr="003F5F8A">
        <w:t xml:space="preserve">Organizations that only require access to the OTC ISIN, CFI and FISN (the current DSB service) – would obtain an OTC ISIN reference data record containing all input and derived data elements associated with the OTC ISIN  </w:t>
      </w:r>
    </w:p>
    <w:p w14:paraId="4FCC015C" w14:textId="77777777" w:rsidR="00185AC3" w:rsidRPr="003F5F8A" w:rsidRDefault="00185AC3" w:rsidP="0087769A">
      <w:pPr>
        <w:pStyle w:val="ListParagraph"/>
        <w:numPr>
          <w:ilvl w:val="0"/>
          <w:numId w:val="4"/>
        </w:numPr>
        <w:spacing w:line="276" w:lineRule="auto"/>
        <w:jc w:val="both"/>
      </w:pPr>
      <w:r w:rsidRPr="003F5F8A">
        <w:t xml:space="preserve">Organizations that require access to the full suite of UPI, CFI, FISN, and OTC ISIN – would obtain </w:t>
      </w:r>
      <w:r w:rsidRPr="003F5F8A">
        <w:rPr>
          <w:rFonts w:eastAsia="Times New Roman"/>
          <w:color w:val="000000"/>
          <w:lang w:eastAsia="en-GB"/>
        </w:rPr>
        <w:t xml:space="preserve">all the input and derived data elements that define each of the UPI, </w:t>
      </w:r>
      <w:proofErr w:type="gramStart"/>
      <w:r w:rsidRPr="003F5F8A">
        <w:rPr>
          <w:rFonts w:eastAsia="Times New Roman"/>
          <w:color w:val="000000"/>
          <w:lang w:eastAsia="en-GB"/>
        </w:rPr>
        <w:t>CFI</w:t>
      </w:r>
      <w:proofErr w:type="gramEnd"/>
      <w:r w:rsidRPr="003F5F8A">
        <w:rPr>
          <w:rFonts w:eastAsia="Times New Roman"/>
          <w:color w:val="000000"/>
          <w:lang w:eastAsia="en-GB"/>
        </w:rPr>
        <w:t xml:space="preserve"> and OTC ISIN</w:t>
      </w:r>
    </w:p>
    <w:p w14:paraId="605CF432" w14:textId="77777777" w:rsidR="00185AC3" w:rsidRPr="00DC6784" w:rsidRDefault="00185AC3" w:rsidP="00C1588F">
      <w:pPr>
        <w:spacing w:line="276" w:lineRule="auto"/>
        <w:jc w:val="both"/>
      </w:pPr>
      <w:r w:rsidRPr="003F5F8A">
        <w:t xml:space="preserve">In each instance, the exact set of data elements returned by the DSB for each of the CFI, UPI, FISN, and </w:t>
      </w:r>
      <w:r w:rsidRPr="009F5C43">
        <w:t xml:space="preserve">OTC ISIN are subject to the criteria set out in the associated ISO standard and additional determinations made by the Product Committee. </w:t>
      </w:r>
    </w:p>
    <w:p w14:paraId="691110D5" w14:textId="77777777" w:rsidR="00185AC3" w:rsidRPr="003F5F8A" w:rsidRDefault="00185AC3" w:rsidP="00C1588F">
      <w:pPr>
        <w:spacing w:after="360" w:line="276" w:lineRule="auto"/>
        <w:jc w:val="both"/>
        <w:rPr>
          <w:rFonts w:asciiTheme="majorHAnsi" w:eastAsiaTheme="majorEastAsia" w:hAnsiTheme="majorHAnsi" w:cstheme="majorBidi"/>
          <w:b/>
          <w:bCs/>
          <w:color w:val="2E74B5" w:themeColor="accent1" w:themeShade="BF"/>
        </w:rPr>
      </w:pPr>
      <w:bookmarkStart w:id="107" w:name="_Toc13087135"/>
      <w:bookmarkStart w:id="108" w:name="_Toc38842408"/>
      <w:r w:rsidRPr="00DC6784">
        <w:t xml:space="preserve">In relation to the governance criteria for Conflicts of Interest </w:t>
      </w:r>
      <w:r w:rsidRPr="00DC6784">
        <w:rPr>
          <w:rStyle w:val="normaltextrun"/>
          <w:rFonts w:ascii="Calibri" w:hAnsi="Calibri" w:cs="Calibri"/>
          <w:color w:val="000000"/>
        </w:rPr>
        <w:t xml:space="preserve">described in section </w:t>
      </w:r>
      <w:r w:rsidRPr="003F5F8A">
        <w:rPr>
          <w:rStyle w:val="normaltextrun"/>
          <w:rFonts w:ascii="Calibri" w:hAnsi="Calibri" w:cs="Calibri"/>
          <w:i/>
          <w:color w:val="000000"/>
        </w:rPr>
        <w:fldChar w:fldCharType="begin"/>
      </w:r>
      <w:r w:rsidRPr="00DC6784">
        <w:rPr>
          <w:rStyle w:val="normaltextrun"/>
          <w:rFonts w:ascii="Calibri" w:hAnsi="Calibri" w:cs="Calibri"/>
          <w:i/>
          <w:color w:val="000000"/>
        </w:rPr>
        <w:instrText xml:space="preserve"> REF _Ref58234110 \r \h  \* MERGEFORMAT </w:instrText>
      </w:r>
      <w:r w:rsidRPr="003F5F8A">
        <w:rPr>
          <w:rStyle w:val="normaltextrun"/>
          <w:rFonts w:ascii="Calibri" w:hAnsi="Calibri" w:cs="Calibri"/>
          <w:i/>
          <w:color w:val="000000"/>
        </w:rPr>
      </w:r>
      <w:r w:rsidRPr="003F5F8A">
        <w:rPr>
          <w:rStyle w:val="normaltextrun"/>
          <w:rFonts w:ascii="Calibri" w:hAnsi="Calibri" w:cs="Calibri"/>
          <w:i/>
          <w:color w:val="000000"/>
        </w:rPr>
        <w:fldChar w:fldCharType="separate"/>
      </w:r>
      <w:r w:rsidRPr="003F5F8A">
        <w:rPr>
          <w:rStyle w:val="normaltextrun"/>
          <w:rFonts w:ascii="Calibri" w:hAnsi="Calibri" w:cs="Calibri"/>
          <w:i/>
          <w:color w:val="000000"/>
        </w:rPr>
        <w:t>3.2.2</w:t>
      </w:r>
      <w:r w:rsidRPr="003F5F8A">
        <w:rPr>
          <w:rStyle w:val="normaltextrun"/>
          <w:rFonts w:ascii="Calibri" w:hAnsi="Calibri" w:cs="Calibri"/>
          <w:i/>
          <w:color w:val="000000"/>
        </w:rPr>
        <w:fldChar w:fldCharType="end"/>
      </w:r>
      <w:r w:rsidRPr="003F5F8A">
        <w:rPr>
          <w:rStyle w:val="normaltextrun"/>
          <w:rFonts w:ascii="Calibri" w:hAnsi="Calibri" w:cs="Calibri"/>
          <w:i/>
          <w:iCs/>
          <w:color w:val="000000"/>
        </w:rPr>
        <w:t xml:space="preserve"> </w:t>
      </w:r>
      <w:r w:rsidRPr="003F5F8A">
        <w:rPr>
          <w:rStyle w:val="normaltextrun"/>
          <w:rFonts w:ascii="Calibri" w:hAnsi="Calibri" w:cs="Calibri"/>
          <w:i/>
          <w:color w:val="000000"/>
        </w:rPr>
        <w:fldChar w:fldCharType="begin"/>
      </w:r>
      <w:r w:rsidRPr="00DC6784">
        <w:rPr>
          <w:rStyle w:val="normaltextrun"/>
          <w:rFonts w:ascii="Calibri" w:hAnsi="Calibri" w:cs="Calibri"/>
          <w:i/>
          <w:color w:val="000000"/>
        </w:rPr>
        <w:instrText xml:space="preserve"> REF _Ref58234123 \h  \* MERGEFORMAT </w:instrText>
      </w:r>
      <w:r w:rsidRPr="003F5F8A">
        <w:rPr>
          <w:rStyle w:val="normaltextrun"/>
          <w:rFonts w:ascii="Calibri" w:hAnsi="Calibri" w:cs="Calibri"/>
          <w:i/>
          <w:color w:val="000000"/>
        </w:rPr>
      </w:r>
      <w:r w:rsidRPr="003F5F8A">
        <w:rPr>
          <w:rStyle w:val="normaltextrun"/>
          <w:rFonts w:ascii="Calibri" w:hAnsi="Calibri" w:cs="Calibri"/>
          <w:i/>
          <w:color w:val="000000"/>
        </w:rPr>
        <w:fldChar w:fldCharType="separate"/>
      </w:r>
      <w:r w:rsidRPr="003F5F8A">
        <w:rPr>
          <w:i/>
          <w:iCs/>
        </w:rPr>
        <w:t>UPI Governance Criteria</w:t>
      </w:r>
      <w:r w:rsidRPr="003F5F8A">
        <w:rPr>
          <w:rStyle w:val="normaltextrun"/>
          <w:rFonts w:ascii="Calibri" w:hAnsi="Calibri" w:cs="Calibri"/>
          <w:i/>
          <w:color w:val="000000"/>
        </w:rPr>
        <w:fldChar w:fldCharType="end"/>
      </w:r>
      <w:r w:rsidRPr="003F5F8A">
        <w:t>, users requiring access to the UPI would be able to do so on a stand-alone basis. Whether subscribing to the standalone UPI service or a combined with other services, UPI users will have equitable terms and conditions.</w:t>
      </w:r>
    </w:p>
    <w:p w14:paraId="4EBFA015" w14:textId="77777777" w:rsidR="00185AC3" w:rsidRDefault="00185AC3" w:rsidP="0048715D">
      <w:pPr>
        <w:pStyle w:val="Heading2"/>
        <w:spacing w:before="0" w:line="276" w:lineRule="auto"/>
      </w:pPr>
      <w:bookmarkStart w:id="109" w:name="_Toc38842409"/>
      <w:bookmarkStart w:id="110" w:name="_Toc60651787"/>
      <w:bookmarkStart w:id="111" w:name="_Ref60652484"/>
      <w:bookmarkStart w:id="112" w:name="_Toc61255931"/>
      <w:bookmarkEnd w:id="107"/>
      <w:bookmarkEnd w:id="108"/>
      <w:r>
        <w:rPr>
          <w:noProof/>
          <w:lang w:eastAsia="en-GB"/>
        </w:rPr>
        <mc:AlternateContent>
          <mc:Choice Requires="wps">
            <w:drawing>
              <wp:anchor distT="45720" distB="45720" distL="114300" distR="114300" simplePos="0" relativeHeight="251646464" behindDoc="0" locked="0" layoutInCell="1" allowOverlap="1" wp14:anchorId="30E4665F" wp14:editId="45382540">
                <wp:simplePos x="0" y="0"/>
                <wp:positionH relativeFrom="margin">
                  <wp:posOffset>3072</wp:posOffset>
                </wp:positionH>
                <wp:positionV relativeFrom="paragraph">
                  <wp:posOffset>299085</wp:posOffset>
                </wp:positionV>
                <wp:extent cx="5716905" cy="1404620"/>
                <wp:effectExtent l="0" t="0" r="1714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4AEB9"/>
                          </a:solidFill>
                          <a:miter lim="800000"/>
                          <a:headEnd/>
                          <a:tailEnd/>
                        </a:ln>
                      </wps:spPr>
                      <wps:txbx>
                        <w:txbxContent>
                          <w:p w14:paraId="2B3EE56E" w14:textId="7045CFFF" w:rsidR="00185AC3" w:rsidRPr="000B0101" w:rsidRDefault="00185AC3" w:rsidP="00185AC3">
                            <w:pPr>
                              <w:pStyle w:val="paragraph"/>
                              <w:spacing w:before="240" w:beforeAutospacing="0" w:after="120" w:afterAutospacing="0" w:line="276" w:lineRule="auto"/>
                              <w:textAlignment w:val="baseline"/>
                              <w:rPr>
                                <w:rStyle w:val="normaltextrun"/>
                                <w:rFonts w:ascii="Calibri" w:hAnsi="Calibri" w:cs="Calibri"/>
                                <w:bCs/>
                                <w:color w:val="000000"/>
                                <w:sz w:val="22"/>
                                <w:szCs w:val="22"/>
                              </w:rPr>
                            </w:pPr>
                            <w:r w:rsidRPr="000B0101">
                              <w:rPr>
                                <w:rStyle w:val="normaltextrun"/>
                                <w:rFonts w:ascii="Calibri" w:hAnsi="Calibri" w:cs="Calibri"/>
                                <w:b/>
                                <w:bCs/>
                                <w:color w:val="000000"/>
                                <w:sz w:val="22"/>
                                <w:szCs w:val="22"/>
                              </w:rPr>
                              <w:t>Summary</w:t>
                            </w:r>
                            <w:r w:rsidRPr="000B0101">
                              <w:rPr>
                                <w:rStyle w:val="normaltextrun"/>
                                <w:rFonts w:ascii="Calibri" w:hAnsi="Calibri" w:cs="Calibri"/>
                                <w:b/>
                                <w:color w:val="000000"/>
                                <w:sz w:val="22"/>
                                <w:szCs w:val="22"/>
                              </w:rPr>
                              <w:t xml:space="preserve">: </w:t>
                            </w:r>
                            <w:r w:rsidRPr="000B0101">
                              <w:rPr>
                                <w:rStyle w:val="normaltextrun"/>
                                <w:rFonts w:ascii="Calibri" w:hAnsi="Calibri" w:cs="Calibri"/>
                                <w:bCs/>
                                <w:color w:val="000000"/>
                                <w:sz w:val="22"/>
                                <w:szCs w:val="22"/>
                              </w:rPr>
                              <w:t xml:space="preserve">The DSB proposes to facilitate access to the UPI service and the UPI reference data library on a programmatic basis, via a web front end, and via a file download service, with records available in a </w:t>
                            </w:r>
                            <w:r w:rsidR="00BE3A45" w:rsidRPr="000B0101">
                              <w:rPr>
                                <w:rStyle w:val="normaltextrun"/>
                                <w:rFonts w:ascii="Calibri" w:hAnsi="Calibri" w:cs="Calibri"/>
                                <w:bCs/>
                                <w:color w:val="000000"/>
                                <w:sz w:val="22"/>
                                <w:szCs w:val="22"/>
                              </w:rPr>
                              <w:t>machine-readable</w:t>
                            </w:r>
                            <w:r w:rsidRPr="000B0101">
                              <w:rPr>
                                <w:rStyle w:val="normaltextrun"/>
                                <w:rFonts w:ascii="Calibri" w:hAnsi="Calibri" w:cs="Calibri"/>
                                <w:bCs/>
                                <w:color w:val="000000"/>
                                <w:sz w:val="22"/>
                                <w:szCs w:val="22"/>
                              </w:rPr>
                              <w:t xml:space="preserve"> format. </w:t>
                            </w:r>
                          </w:p>
                          <w:p w14:paraId="26F46719" w14:textId="77777777" w:rsidR="00185AC3" w:rsidRPr="000B0101" w:rsidRDefault="00185AC3" w:rsidP="00185AC3">
                            <w:pPr>
                              <w:rPr>
                                <w:rStyle w:val="normaltextrun"/>
                                <w:rFonts w:ascii="Calibri" w:hAnsi="Calibri" w:cs="Calibri"/>
                                <w:b/>
                                <w:i/>
                                <w:color w:val="000000"/>
                              </w:rPr>
                            </w:pPr>
                            <w:r w:rsidRPr="000B0101">
                              <w:rPr>
                                <w:rStyle w:val="normaltextrun"/>
                                <w:rFonts w:ascii="Calibri" w:hAnsi="Calibri" w:cs="Calibri"/>
                                <w:b/>
                                <w:bCs/>
                                <w:color w:val="000000"/>
                              </w:rPr>
                              <w:t xml:space="preserve">Question 3a: </w:t>
                            </w:r>
                            <w:r w:rsidRPr="000B0101">
                              <w:rPr>
                                <w:rStyle w:val="normaltextrun"/>
                                <w:rFonts w:ascii="Calibri" w:hAnsi="Calibri" w:cs="Calibri"/>
                                <w:b/>
                                <w:i/>
                                <w:color w:val="000000"/>
                              </w:rPr>
                              <w:t>Do you concur with the proposal presented, which seeks to leverage the core approach utilized for the existing service, and which has been endorsed by industry through several rounds of consultation?</w:t>
                            </w:r>
                          </w:p>
                          <w:p w14:paraId="0923F2E1" w14:textId="77777777" w:rsidR="00185AC3" w:rsidRPr="000B0101" w:rsidRDefault="00185AC3" w:rsidP="00185AC3">
                            <w:pPr>
                              <w:rPr>
                                <w:rStyle w:val="normaltextrun"/>
                                <w:rFonts w:cstheme="minorHAnsi"/>
                                <w:b/>
                                <w:color w:val="000000"/>
                              </w:rPr>
                            </w:pPr>
                            <w:r w:rsidRPr="000B0101">
                              <w:rPr>
                                <w:rStyle w:val="normaltextrun"/>
                                <w:rFonts w:cstheme="minorHAnsi"/>
                                <w:b/>
                                <w:bCs/>
                                <w:color w:val="000000"/>
                              </w:rPr>
                              <w:t>Question 3b:</w:t>
                            </w:r>
                            <w:r w:rsidRPr="000B0101">
                              <w:rPr>
                                <w:rStyle w:val="normaltextrun"/>
                                <w:rFonts w:cstheme="minorHAnsi"/>
                                <w:b/>
                                <w:color w:val="000000"/>
                              </w:rPr>
                              <w:t xml:space="preserve"> </w:t>
                            </w:r>
                            <w:r w:rsidRPr="000B0101">
                              <w:rPr>
                                <w:rStyle w:val="normaltextrun"/>
                                <w:rFonts w:cstheme="minorHAnsi"/>
                                <w:b/>
                                <w:i/>
                                <w:color w:val="000000"/>
                              </w:rPr>
                              <w:t>If not, what specific alternate approach do you recommend? Please provide a clear and objective rationale for each alternate approach you recommend.</w:t>
                            </w:r>
                            <w:r w:rsidRPr="000B0101">
                              <w:rPr>
                                <w:rStyle w:val="normaltextrun"/>
                                <w:rFonts w:cstheme="minorHAnsi"/>
                                <w:b/>
                                <w:color w:val="00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4665F" id="_x0000_s1028" type="#_x0000_t202" style="position:absolute;left:0;text-align:left;margin-left:.25pt;margin-top:23.55pt;width:450.15pt;height:110.6pt;z-index:251646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" strokecolor="#04aeb9">
                <v:textbox style="mso-fit-shape-to-text:t">
                  <w:txbxContent>
                    <w:p w14:paraId="2B3EE56E" w14:textId="7045CFFF" w:rsidR="00185AC3" w:rsidRPr="000B0101" w:rsidRDefault="00185AC3" w:rsidP="00185AC3">
                      <w:pPr>
                        <w:pStyle w:val="paragraph"/>
                        <w:spacing w:before="240" w:beforeAutospacing="0" w:after="120" w:afterAutospacing="0" w:line="276" w:lineRule="auto"/>
                        <w:textAlignment w:val="baseline"/>
                        <w:rPr>
                          <w:rStyle w:val="normaltextrun"/>
                          <w:rFonts w:ascii="Calibri" w:hAnsi="Calibri" w:cs="Calibri"/>
                          <w:bCs/>
                          <w:color w:val="000000"/>
                          <w:sz w:val="22"/>
                          <w:szCs w:val="22"/>
                        </w:rPr>
                      </w:pPr>
                      <w:r w:rsidRPr="000B0101">
                        <w:rPr>
                          <w:rStyle w:val="normaltextrun"/>
                          <w:rFonts w:ascii="Calibri" w:hAnsi="Calibri" w:cs="Calibri"/>
                          <w:b/>
                          <w:bCs/>
                          <w:color w:val="000000"/>
                          <w:sz w:val="22"/>
                          <w:szCs w:val="22"/>
                        </w:rPr>
                        <w:t>Summary</w:t>
                      </w:r>
                      <w:r w:rsidRPr="000B0101">
                        <w:rPr>
                          <w:rStyle w:val="normaltextrun"/>
                          <w:rFonts w:ascii="Calibri" w:hAnsi="Calibri" w:cs="Calibri"/>
                          <w:b/>
                          <w:color w:val="000000"/>
                          <w:sz w:val="22"/>
                          <w:szCs w:val="22"/>
                        </w:rPr>
                        <w:t xml:space="preserve">: </w:t>
                      </w:r>
                      <w:r w:rsidRPr="000B0101">
                        <w:rPr>
                          <w:rStyle w:val="normaltextrun"/>
                          <w:rFonts w:ascii="Calibri" w:hAnsi="Calibri" w:cs="Calibri"/>
                          <w:bCs/>
                          <w:color w:val="000000"/>
                          <w:sz w:val="22"/>
                          <w:szCs w:val="22"/>
                        </w:rPr>
                        <w:t xml:space="preserve">The DSB proposes to facilitate access to the UPI service and the UPI reference data library on a programmatic basis, via a web front end, and via a file download service, with records available in a </w:t>
                      </w:r>
                      <w:r w:rsidR="00BE3A45" w:rsidRPr="000B0101">
                        <w:rPr>
                          <w:rStyle w:val="normaltextrun"/>
                          <w:rFonts w:ascii="Calibri" w:hAnsi="Calibri" w:cs="Calibri"/>
                          <w:bCs/>
                          <w:color w:val="000000"/>
                          <w:sz w:val="22"/>
                          <w:szCs w:val="22"/>
                        </w:rPr>
                        <w:t>machine-readable</w:t>
                      </w:r>
                      <w:r w:rsidRPr="000B0101">
                        <w:rPr>
                          <w:rStyle w:val="normaltextrun"/>
                          <w:rFonts w:ascii="Calibri" w:hAnsi="Calibri" w:cs="Calibri"/>
                          <w:bCs/>
                          <w:color w:val="000000"/>
                          <w:sz w:val="22"/>
                          <w:szCs w:val="22"/>
                        </w:rPr>
                        <w:t xml:space="preserve"> format. </w:t>
                      </w:r>
                    </w:p>
                    <w:p w14:paraId="26F46719" w14:textId="77777777" w:rsidR="00185AC3" w:rsidRPr="000B0101" w:rsidRDefault="00185AC3" w:rsidP="00185AC3">
                      <w:pPr>
                        <w:rPr>
                          <w:rStyle w:val="normaltextrun"/>
                          <w:rFonts w:ascii="Calibri" w:hAnsi="Calibri" w:cs="Calibri"/>
                          <w:b/>
                          <w:i/>
                          <w:color w:val="000000"/>
                        </w:rPr>
                      </w:pPr>
                      <w:r w:rsidRPr="000B0101">
                        <w:rPr>
                          <w:rStyle w:val="normaltextrun"/>
                          <w:rFonts w:ascii="Calibri" w:hAnsi="Calibri" w:cs="Calibri"/>
                          <w:b/>
                          <w:bCs/>
                          <w:color w:val="000000"/>
                        </w:rPr>
                        <w:t xml:space="preserve">Question 3a: </w:t>
                      </w:r>
                      <w:r w:rsidRPr="000B0101">
                        <w:rPr>
                          <w:rStyle w:val="normaltextrun"/>
                          <w:rFonts w:ascii="Calibri" w:hAnsi="Calibri" w:cs="Calibri"/>
                          <w:b/>
                          <w:i/>
                          <w:color w:val="000000"/>
                        </w:rPr>
                        <w:t>Do you concur with the proposal presented, which seeks to leverage the core approach utilized for the existing service, and which has been endorsed by industry through several rounds of consultation?</w:t>
                      </w:r>
                    </w:p>
                    <w:p w14:paraId="0923F2E1" w14:textId="77777777" w:rsidR="00185AC3" w:rsidRPr="000B0101" w:rsidRDefault="00185AC3" w:rsidP="00185AC3">
                      <w:pPr>
                        <w:rPr>
                          <w:rStyle w:val="normaltextrun"/>
                          <w:rFonts w:cstheme="minorHAnsi"/>
                          <w:b/>
                          <w:color w:val="000000"/>
                        </w:rPr>
                      </w:pPr>
                      <w:r w:rsidRPr="000B0101">
                        <w:rPr>
                          <w:rStyle w:val="normaltextrun"/>
                          <w:rFonts w:cstheme="minorHAnsi"/>
                          <w:b/>
                          <w:bCs/>
                          <w:color w:val="000000"/>
                        </w:rPr>
                        <w:t>Question 3b:</w:t>
                      </w:r>
                      <w:r w:rsidRPr="000B0101">
                        <w:rPr>
                          <w:rStyle w:val="normaltextrun"/>
                          <w:rFonts w:cstheme="minorHAnsi"/>
                          <w:b/>
                          <w:color w:val="000000"/>
                        </w:rPr>
                        <w:t xml:space="preserve"> </w:t>
                      </w:r>
                      <w:r w:rsidRPr="000B0101">
                        <w:rPr>
                          <w:rStyle w:val="normaltextrun"/>
                          <w:rFonts w:cstheme="minorHAnsi"/>
                          <w:b/>
                          <w:i/>
                          <w:color w:val="000000"/>
                        </w:rPr>
                        <w:t>If not, what specific alternate approach do you recommend? Please provide a clear and objective rationale for each alternate approach you recommend.</w:t>
                      </w:r>
                      <w:r w:rsidRPr="000B0101">
                        <w:rPr>
                          <w:rStyle w:val="normaltextrun"/>
                          <w:rFonts w:cstheme="minorHAnsi"/>
                          <w:b/>
                          <w:color w:val="000000"/>
                        </w:rPr>
                        <w:t xml:space="preserve"> </w:t>
                      </w:r>
                    </w:p>
                  </w:txbxContent>
                </v:textbox>
                <w10:wrap type="square" anchorx="margin"/>
              </v:shape>
            </w:pict>
          </mc:Fallback>
        </mc:AlternateContent>
      </w:r>
      <w:r>
        <w:t xml:space="preserve">Q3 – </w:t>
      </w:r>
      <w:bookmarkEnd w:id="109"/>
      <w:r>
        <w:t>User Access</w:t>
      </w:r>
      <w:bookmarkEnd w:id="110"/>
      <w:bookmarkEnd w:id="111"/>
      <w:bookmarkEnd w:id="112"/>
      <w:r>
        <w:t xml:space="preserve">   </w:t>
      </w:r>
    </w:p>
    <w:p w14:paraId="286D2444" w14:textId="77777777" w:rsidR="00185AC3" w:rsidRPr="008E271F" w:rsidRDefault="00185AC3" w:rsidP="00C1588F">
      <w:pPr>
        <w:spacing w:line="276" w:lineRule="auto"/>
        <w:jc w:val="both"/>
        <w:rPr>
          <w:u w:val="single"/>
        </w:rPr>
      </w:pPr>
      <w:r w:rsidRPr="008E271F">
        <w:rPr>
          <w:u w:val="single"/>
        </w:rPr>
        <w:t>Supporting Information:</w:t>
      </w:r>
    </w:p>
    <w:p w14:paraId="7E1507FC" w14:textId="77777777" w:rsidR="00185AC3" w:rsidRPr="008E271F" w:rsidRDefault="00185AC3" w:rsidP="0048715D">
      <w:pPr>
        <w:pStyle w:val="paragraph"/>
        <w:spacing w:before="0" w:beforeAutospacing="0" w:after="120" w:afterAutospacing="0" w:line="276" w:lineRule="auto"/>
        <w:jc w:val="both"/>
        <w:textAlignment w:val="baseline"/>
        <w:rPr>
          <w:rStyle w:val="normaltextrun"/>
          <w:rFonts w:asciiTheme="minorHAnsi" w:hAnsiTheme="minorHAnsi" w:cstheme="minorHAnsi"/>
          <w:bCs/>
          <w:color w:val="000000"/>
          <w:sz w:val="22"/>
          <w:szCs w:val="22"/>
        </w:rPr>
      </w:pPr>
      <w:r w:rsidRPr="008E271F">
        <w:rPr>
          <w:rStyle w:val="normaltextrun"/>
          <w:rFonts w:asciiTheme="minorHAnsi" w:hAnsiTheme="minorHAnsi" w:cstheme="minorHAnsi"/>
          <w:bCs/>
          <w:color w:val="000000"/>
          <w:sz w:val="22"/>
          <w:szCs w:val="22"/>
        </w:rPr>
        <w:t xml:space="preserve">DSB users currently access the service using one of the following modes of access: </w:t>
      </w:r>
    </w:p>
    <w:p w14:paraId="07E05319" w14:textId="77777777" w:rsidR="00185AC3" w:rsidRPr="008E271F" w:rsidRDefault="00185AC3" w:rsidP="0087769A">
      <w:pPr>
        <w:pStyle w:val="paragraph"/>
        <w:numPr>
          <w:ilvl w:val="0"/>
          <w:numId w:val="4"/>
        </w:numPr>
        <w:spacing w:before="0" w:beforeAutospacing="0" w:after="120" w:afterAutospacing="0" w:line="276" w:lineRule="auto"/>
        <w:jc w:val="both"/>
        <w:textAlignment w:val="baseline"/>
        <w:rPr>
          <w:rStyle w:val="normaltextrun"/>
          <w:rFonts w:asciiTheme="minorHAnsi" w:hAnsiTheme="minorHAnsi" w:cstheme="minorHAnsi"/>
          <w:bCs/>
          <w:color w:val="000000"/>
          <w:sz w:val="22"/>
          <w:szCs w:val="22"/>
        </w:rPr>
      </w:pPr>
      <w:r w:rsidRPr="008E271F">
        <w:rPr>
          <w:rStyle w:val="normaltextrun"/>
          <w:rFonts w:asciiTheme="minorHAnsi" w:hAnsiTheme="minorHAnsi" w:cstheme="minorHAnsi"/>
          <w:bCs/>
          <w:color w:val="000000"/>
          <w:sz w:val="22"/>
          <w:szCs w:val="22"/>
        </w:rPr>
        <w:t xml:space="preserve">Programmatically connect to create and search in near real-time, and download data </w:t>
      </w:r>
    </w:p>
    <w:p w14:paraId="43E0A5FF" w14:textId="77777777" w:rsidR="00185AC3" w:rsidRPr="008E271F" w:rsidRDefault="00185AC3" w:rsidP="0087769A">
      <w:pPr>
        <w:pStyle w:val="paragraph"/>
        <w:numPr>
          <w:ilvl w:val="0"/>
          <w:numId w:val="4"/>
        </w:numPr>
        <w:spacing w:before="0" w:beforeAutospacing="0" w:after="120" w:afterAutospacing="0" w:line="276" w:lineRule="auto"/>
        <w:jc w:val="both"/>
        <w:textAlignment w:val="baseline"/>
        <w:rPr>
          <w:rStyle w:val="normaltextrun"/>
          <w:rFonts w:asciiTheme="minorHAnsi" w:hAnsiTheme="minorHAnsi" w:cstheme="minorHAnsi"/>
          <w:bCs/>
          <w:color w:val="000000"/>
          <w:sz w:val="22"/>
          <w:szCs w:val="22"/>
        </w:rPr>
      </w:pPr>
      <w:r w:rsidRPr="008E271F">
        <w:rPr>
          <w:rStyle w:val="normaltextrun"/>
          <w:rFonts w:asciiTheme="minorHAnsi" w:hAnsiTheme="minorHAnsi" w:cstheme="minorHAnsi"/>
          <w:bCs/>
          <w:color w:val="000000"/>
          <w:sz w:val="22"/>
          <w:szCs w:val="22"/>
        </w:rPr>
        <w:t xml:space="preserve">Manually connect to create, search </w:t>
      </w:r>
      <w:proofErr w:type="gramStart"/>
      <w:r w:rsidRPr="008E271F">
        <w:rPr>
          <w:rStyle w:val="normaltextrun"/>
          <w:rFonts w:asciiTheme="minorHAnsi" w:hAnsiTheme="minorHAnsi" w:cstheme="minorHAnsi"/>
          <w:bCs/>
          <w:color w:val="000000"/>
          <w:sz w:val="22"/>
          <w:szCs w:val="22"/>
        </w:rPr>
        <w:t>for</w:t>
      </w:r>
      <w:proofErr w:type="gramEnd"/>
      <w:r w:rsidRPr="008E271F">
        <w:rPr>
          <w:rStyle w:val="normaltextrun"/>
          <w:rFonts w:asciiTheme="minorHAnsi" w:hAnsiTheme="minorHAnsi" w:cstheme="minorHAnsi"/>
          <w:bCs/>
          <w:color w:val="000000"/>
          <w:sz w:val="22"/>
          <w:szCs w:val="22"/>
        </w:rPr>
        <w:t xml:space="preserve"> and download data </w:t>
      </w:r>
    </w:p>
    <w:p w14:paraId="1C4CFF28" w14:textId="77777777" w:rsidR="00185AC3" w:rsidRPr="008E271F" w:rsidRDefault="00185AC3" w:rsidP="00641886">
      <w:pPr>
        <w:pStyle w:val="paragraph"/>
        <w:numPr>
          <w:ilvl w:val="0"/>
          <w:numId w:val="4"/>
        </w:numPr>
        <w:spacing w:before="0" w:beforeAutospacing="0" w:after="120" w:afterAutospacing="0" w:line="276" w:lineRule="auto"/>
        <w:jc w:val="both"/>
        <w:textAlignment w:val="baseline"/>
        <w:rPr>
          <w:rStyle w:val="normaltextrun"/>
          <w:rFonts w:asciiTheme="minorHAnsi" w:hAnsiTheme="minorHAnsi" w:cstheme="minorHAnsi"/>
          <w:bCs/>
          <w:color w:val="000000"/>
          <w:sz w:val="22"/>
          <w:szCs w:val="22"/>
        </w:rPr>
      </w:pPr>
      <w:r w:rsidRPr="008E271F">
        <w:rPr>
          <w:rStyle w:val="normaltextrun"/>
          <w:rFonts w:asciiTheme="minorHAnsi" w:hAnsiTheme="minorHAnsi" w:cstheme="minorHAnsi"/>
          <w:bCs/>
          <w:color w:val="000000"/>
          <w:sz w:val="22"/>
          <w:szCs w:val="22"/>
        </w:rPr>
        <w:t xml:space="preserve">Manually connect to search for and download data </w:t>
      </w:r>
    </w:p>
    <w:p w14:paraId="50E55B00" w14:textId="77777777" w:rsidR="00185AC3" w:rsidRPr="008E271F" w:rsidRDefault="00185AC3" w:rsidP="00641886">
      <w:pPr>
        <w:pStyle w:val="paragraph"/>
        <w:numPr>
          <w:ilvl w:val="0"/>
          <w:numId w:val="4"/>
        </w:numPr>
        <w:spacing w:before="0" w:beforeAutospacing="0" w:after="120" w:afterAutospacing="0" w:line="276" w:lineRule="auto"/>
        <w:jc w:val="both"/>
        <w:textAlignment w:val="baseline"/>
        <w:rPr>
          <w:rStyle w:val="normaltextrun"/>
          <w:rFonts w:asciiTheme="minorHAnsi" w:hAnsiTheme="minorHAnsi" w:cstheme="minorHAnsi"/>
          <w:bCs/>
          <w:color w:val="000000"/>
          <w:sz w:val="22"/>
          <w:szCs w:val="22"/>
        </w:rPr>
      </w:pPr>
      <w:r w:rsidRPr="008E271F">
        <w:rPr>
          <w:rStyle w:val="normaltextrun"/>
          <w:rFonts w:asciiTheme="minorHAnsi" w:hAnsiTheme="minorHAnsi" w:cstheme="minorHAnsi"/>
          <w:bCs/>
          <w:color w:val="000000"/>
          <w:sz w:val="22"/>
          <w:szCs w:val="22"/>
        </w:rPr>
        <w:t xml:space="preserve">Manually or programmatically connect to download data from the file download service </w:t>
      </w:r>
    </w:p>
    <w:p w14:paraId="09E0F50E" w14:textId="77777777" w:rsidR="00185AC3" w:rsidRPr="008E271F" w:rsidRDefault="00185AC3" w:rsidP="00641886">
      <w:pPr>
        <w:pStyle w:val="paragraph"/>
        <w:spacing w:after="240" w:line="276" w:lineRule="auto"/>
        <w:jc w:val="both"/>
        <w:textAlignment w:val="baseline"/>
        <w:rPr>
          <w:rStyle w:val="normaltextrun"/>
          <w:rFonts w:asciiTheme="minorHAnsi" w:hAnsiTheme="minorHAnsi" w:cstheme="minorHAnsi"/>
          <w:bCs/>
          <w:color w:val="000000"/>
          <w:sz w:val="22"/>
          <w:szCs w:val="22"/>
        </w:rPr>
      </w:pPr>
      <w:r w:rsidRPr="008E271F">
        <w:rPr>
          <w:rStyle w:val="normaltextrun"/>
          <w:rFonts w:asciiTheme="minorHAnsi" w:hAnsiTheme="minorHAnsi" w:cstheme="minorHAnsi"/>
          <w:bCs/>
          <w:color w:val="000000"/>
          <w:sz w:val="22"/>
          <w:szCs w:val="22"/>
        </w:rPr>
        <w:t xml:space="preserve">The DSB will also be introducing two additional user services in 2021, the search-only Application Programming Interface (API) user to enable lower volume users requiring systematic access, and a </w:t>
      </w:r>
      <w:r w:rsidRPr="008E271F">
        <w:rPr>
          <w:rStyle w:val="normaltextrun"/>
          <w:rFonts w:asciiTheme="minorHAnsi" w:hAnsiTheme="minorHAnsi" w:cstheme="minorHAnsi"/>
          <w:bCs/>
          <w:color w:val="000000"/>
          <w:sz w:val="22"/>
          <w:szCs w:val="22"/>
        </w:rPr>
        <w:lastRenderedPageBreak/>
        <w:t xml:space="preserve">snapshot user where an existing user of the DSB can request access to stand-alone data snapshots for any/all asset classes over a specified time horizon.  </w:t>
      </w:r>
    </w:p>
    <w:p w14:paraId="1625DCB3" w14:textId="77777777" w:rsidR="00185AC3" w:rsidRPr="008E271F" w:rsidRDefault="00185AC3" w:rsidP="00C1588F">
      <w:pPr>
        <w:spacing w:line="276" w:lineRule="auto"/>
        <w:jc w:val="both"/>
        <w:rPr>
          <w:b/>
          <w:u w:val="single"/>
        </w:rPr>
      </w:pPr>
      <w:r w:rsidRPr="008E271F">
        <w:rPr>
          <w:b/>
          <w:u w:val="single"/>
        </w:rPr>
        <w:t>DSB Proposal:</w:t>
      </w:r>
    </w:p>
    <w:p w14:paraId="459084DC" w14:textId="77777777" w:rsidR="00185AC3" w:rsidRPr="008E271F" w:rsidRDefault="00185AC3" w:rsidP="0048715D">
      <w:pPr>
        <w:pStyle w:val="paragraph"/>
        <w:spacing w:before="0" w:beforeAutospacing="0" w:after="120" w:afterAutospacing="0" w:line="276" w:lineRule="auto"/>
        <w:jc w:val="both"/>
        <w:textAlignment w:val="baseline"/>
        <w:rPr>
          <w:rStyle w:val="normaltextrun"/>
          <w:rFonts w:asciiTheme="minorHAnsi" w:eastAsiaTheme="minorHAnsi" w:hAnsiTheme="minorHAnsi" w:cstheme="minorHAnsi"/>
          <w:color w:val="000000"/>
          <w:sz w:val="22"/>
          <w:szCs w:val="22"/>
        </w:rPr>
      </w:pPr>
      <w:r w:rsidRPr="008E271F">
        <w:rPr>
          <w:rStyle w:val="normaltextrun"/>
          <w:rFonts w:asciiTheme="minorHAnsi" w:hAnsiTheme="minorHAnsi" w:cstheme="minorHAnsi"/>
          <w:bCs/>
          <w:color w:val="000000"/>
          <w:sz w:val="22"/>
          <w:szCs w:val="22"/>
        </w:rPr>
        <w:t xml:space="preserve">The DSB proposes to ensure that UPI users have access to the full suite of access mechanisms that are currently available to DSB users through the existing service. In addition, the DSB proposes to extend user access to also capture the search only programmatic user type and snapshot data service that will be introduced in 2021, following user requests in response to the industry consultation conducted in 2020. </w:t>
      </w:r>
    </w:p>
    <w:p w14:paraId="5445D0D9" w14:textId="77777777" w:rsidR="00185AC3" w:rsidRPr="008E271F" w:rsidRDefault="00185AC3" w:rsidP="0087769A">
      <w:pPr>
        <w:pStyle w:val="paragraph"/>
        <w:spacing w:before="0" w:beforeAutospacing="0" w:after="120" w:afterAutospacing="0" w:line="276" w:lineRule="auto"/>
        <w:jc w:val="both"/>
        <w:textAlignment w:val="baseline"/>
        <w:rPr>
          <w:rStyle w:val="normaltextrun"/>
          <w:rFonts w:asciiTheme="minorHAnsi" w:hAnsiTheme="minorHAnsi" w:cstheme="minorHAnsi"/>
          <w:bCs/>
          <w:color w:val="000000"/>
          <w:sz w:val="22"/>
          <w:szCs w:val="22"/>
        </w:rPr>
      </w:pPr>
      <w:r w:rsidRPr="008E271F">
        <w:rPr>
          <w:rStyle w:val="normaltextrun"/>
          <w:rFonts w:asciiTheme="minorHAnsi" w:hAnsiTheme="minorHAnsi" w:cstheme="minorHAnsi"/>
          <w:bCs/>
          <w:color w:val="000000"/>
          <w:sz w:val="22"/>
          <w:szCs w:val="22"/>
        </w:rPr>
        <w:t xml:space="preserve">As the result, users requiring UPI data will be able to connect to the DSB in any one of the following ways: </w:t>
      </w:r>
    </w:p>
    <w:p w14:paraId="156A0860" w14:textId="77777777" w:rsidR="00185AC3" w:rsidRPr="008E271F" w:rsidRDefault="00185AC3" w:rsidP="0087769A">
      <w:pPr>
        <w:pStyle w:val="paragraph"/>
        <w:numPr>
          <w:ilvl w:val="0"/>
          <w:numId w:val="5"/>
        </w:numPr>
        <w:spacing w:before="0" w:beforeAutospacing="0" w:after="120" w:afterAutospacing="0" w:line="276" w:lineRule="auto"/>
        <w:jc w:val="both"/>
        <w:textAlignment w:val="baseline"/>
        <w:rPr>
          <w:rStyle w:val="normaltextrun"/>
          <w:rFonts w:asciiTheme="minorHAnsi" w:hAnsiTheme="minorHAnsi" w:cstheme="minorHAnsi"/>
          <w:bCs/>
          <w:color w:val="000000"/>
          <w:sz w:val="22"/>
          <w:szCs w:val="22"/>
        </w:rPr>
      </w:pPr>
      <w:r w:rsidRPr="008E271F">
        <w:rPr>
          <w:rStyle w:val="normaltextrun"/>
          <w:rFonts w:asciiTheme="minorHAnsi" w:hAnsiTheme="minorHAnsi" w:cstheme="minorHAnsi"/>
          <w:bCs/>
          <w:color w:val="000000"/>
          <w:sz w:val="22"/>
          <w:szCs w:val="22"/>
        </w:rPr>
        <w:t xml:space="preserve">Programmatically connect to create, search </w:t>
      </w:r>
      <w:proofErr w:type="gramStart"/>
      <w:r w:rsidRPr="008E271F">
        <w:rPr>
          <w:rStyle w:val="normaltextrun"/>
          <w:rFonts w:asciiTheme="minorHAnsi" w:hAnsiTheme="minorHAnsi" w:cstheme="minorHAnsi"/>
          <w:bCs/>
          <w:color w:val="000000"/>
          <w:sz w:val="22"/>
          <w:szCs w:val="22"/>
        </w:rPr>
        <w:t>for</w:t>
      </w:r>
      <w:proofErr w:type="gramEnd"/>
      <w:r w:rsidRPr="008E271F">
        <w:rPr>
          <w:rStyle w:val="normaltextrun"/>
          <w:rFonts w:asciiTheme="minorHAnsi" w:hAnsiTheme="minorHAnsi" w:cstheme="minorHAnsi"/>
          <w:bCs/>
          <w:color w:val="000000"/>
          <w:sz w:val="22"/>
          <w:szCs w:val="22"/>
        </w:rPr>
        <w:t xml:space="preserve"> and download data </w:t>
      </w:r>
    </w:p>
    <w:p w14:paraId="1FD001CD" w14:textId="77777777" w:rsidR="00185AC3" w:rsidRPr="008E271F" w:rsidRDefault="00185AC3" w:rsidP="0087769A">
      <w:pPr>
        <w:pStyle w:val="paragraph"/>
        <w:numPr>
          <w:ilvl w:val="0"/>
          <w:numId w:val="5"/>
        </w:numPr>
        <w:spacing w:before="0" w:beforeAutospacing="0" w:after="120" w:afterAutospacing="0" w:line="276" w:lineRule="auto"/>
        <w:jc w:val="both"/>
        <w:textAlignment w:val="baseline"/>
        <w:rPr>
          <w:rStyle w:val="normaltextrun"/>
          <w:rFonts w:asciiTheme="minorHAnsi" w:hAnsiTheme="minorHAnsi" w:cstheme="minorHAnsi"/>
          <w:bCs/>
          <w:color w:val="000000"/>
          <w:sz w:val="22"/>
          <w:szCs w:val="22"/>
        </w:rPr>
      </w:pPr>
      <w:r w:rsidRPr="008E271F">
        <w:rPr>
          <w:rStyle w:val="normaltextrun"/>
          <w:rFonts w:asciiTheme="minorHAnsi" w:hAnsiTheme="minorHAnsi" w:cstheme="minorHAnsi"/>
          <w:bCs/>
          <w:color w:val="000000"/>
          <w:sz w:val="22"/>
          <w:szCs w:val="22"/>
        </w:rPr>
        <w:t xml:space="preserve">Programmatically connect to search at a lower threshold than permitted in (i) above </w:t>
      </w:r>
    </w:p>
    <w:p w14:paraId="09E1CE6C" w14:textId="77777777" w:rsidR="00185AC3" w:rsidRPr="008E271F" w:rsidRDefault="00185AC3" w:rsidP="00641886">
      <w:pPr>
        <w:pStyle w:val="paragraph"/>
        <w:numPr>
          <w:ilvl w:val="0"/>
          <w:numId w:val="5"/>
        </w:numPr>
        <w:spacing w:before="0" w:beforeAutospacing="0" w:after="120" w:afterAutospacing="0" w:line="276" w:lineRule="auto"/>
        <w:jc w:val="both"/>
        <w:textAlignment w:val="baseline"/>
        <w:rPr>
          <w:rStyle w:val="normaltextrun"/>
          <w:rFonts w:asciiTheme="minorHAnsi" w:hAnsiTheme="minorHAnsi" w:cstheme="minorHAnsi"/>
          <w:bCs/>
          <w:color w:val="000000"/>
          <w:sz w:val="22"/>
          <w:szCs w:val="22"/>
        </w:rPr>
      </w:pPr>
      <w:r w:rsidRPr="008E271F">
        <w:rPr>
          <w:rStyle w:val="normaltextrun"/>
          <w:rFonts w:asciiTheme="minorHAnsi" w:hAnsiTheme="minorHAnsi" w:cstheme="minorHAnsi"/>
          <w:bCs/>
          <w:color w:val="000000"/>
          <w:sz w:val="22"/>
          <w:szCs w:val="22"/>
        </w:rPr>
        <w:t xml:space="preserve">Manually connect to create, search </w:t>
      </w:r>
      <w:proofErr w:type="gramStart"/>
      <w:r w:rsidRPr="008E271F">
        <w:rPr>
          <w:rStyle w:val="normaltextrun"/>
          <w:rFonts w:asciiTheme="minorHAnsi" w:hAnsiTheme="minorHAnsi" w:cstheme="minorHAnsi"/>
          <w:bCs/>
          <w:color w:val="000000"/>
          <w:sz w:val="22"/>
          <w:szCs w:val="22"/>
        </w:rPr>
        <w:t>for</w:t>
      </w:r>
      <w:proofErr w:type="gramEnd"/>
      <w:r w:rsidRPr="008E271F">
        <w:rPr>
          <w:rStyle w:val="normaltextrun"/>
          <w:rFonts w:asciiTheme="minorHAnsi" w:hAnsiTheme="minorHAnsi" w:cstheme="minorHAnsi"/>
          <w:bCs/>
          <w:color w:val="000000"/>
          <w:sz w:val="22"/>
          <w:szCs w:val="22"/>
        </w:rPr>
        <w:t xml:space="preserve"> and download data </w:t>
      </w:r>
    </w:p>
    <w:p w14:paraId="36B8BA82" w14:textId="77777777" w:rsidR="00185AC3" w:rsidRPr="008E271F" w:rsidRDefault="00185AC3" w:rsidP="00641886">
      <w:pPr>
        <w:pStyle w:val="paragraph"/>
        <w:numPr>
          <w:ilvl w:val="0"/>
          <w:numId w:val="5"/>
        </w:numPr>
        <w:spacing w:before="0" w:beforeAutospacing="0" w:after="120" w:afterAutospacing="0" w:line="276" w:lineRule="auto"/>
        <w:jc w:val="both"/>
        <w:textAlignment w:val="baseline"/>
        <w:rPr>
          <w:rStyle w:val="normaltextrun"/>
          <w:rFonts w:asciiTheme="minorHAnsi" w:hAnsiTheme="minorHAnsi" w:cstheme="minorHAnsi"/>
          <w:bCs/>
          <w:color w:val="000000"/>
          <w:sz w:val="22"/>
          <w:szCs w:val="22"/>
        </w:rPr>
      </w:pPr>
      <w:r w:rsidRPr="008E271F">
        <w:rPr>
          <w:rStyle w:val="normaltextrun"/>
          <w:rFonts w:asciiTheme="minorHAnsi" w:hAnsiTheme="minorHAnsi" w:cstheme="minorHAnsi"/>
          <w:bCs/>
          <w:color w:val="000000"/>
          <w:sz w:val="22"/>
          <w:szCs w:val="22"/>
        </w:rPr>
        <w:t xml:space="preserve">Manually connect to search for and download data </w:t>
      </w:r>
    </w:p>
    <w:p w14:paraId="67D7ECAF" w14:textId="77777777" w:rsidR="00185AC3" w:rsidRPr="008E271F" w:rsidRDefault="00185AC3" w:rsidP="00641886">
      <w:pPr>
        <w:pStyle w:val="paragraph"/>
        <w:numPr>
          <w:ilvl w:val="0"/>
          <w:numId w:val="5"/>
        </w:numPr>
        <w:spacing w:before="0" w:beforeAutospacing="0" w:after="120" w:afterAutospacing="0" w:line="276" w:lineRule="auto"/>
        <w:jc w:val="both"/>
        <w:textAlignment w:val="baseline"/>
        <w:rPr>
          <w:rStyle w:val="normaltextrun"/>
          <w:rFonts w:asciiTheme="minorHAnsi" w:hAnsiTheme="minorHAnsi" w:cstheme="minorHAnsi"/>
          <w:bCs/>
          <w:color w:val="000000"/>
          <w:sz w:val="22"/>
          <w:szCs w:val="22"/>
        </w:rPr>
      </w:pPr>
      <w:r w:rsidRPr="008E271F">
        <w:rPr>
          <w:rStyle w:val="normaltextrun"/>
          <w:rFonts w:asciiTheme="minorHAnsi" w:hAnsiTheme="minorHAnsi" w:cstheme="minorHAnsi"/>
          <w:bCs/>
          <w:color w:val="000000"/>
          <w:sz w:val="22"/>
          <w:szCs w:val="22"/>
        </w:rPr>
        <w:t xml:space="preserve">Manually or programmatically connect to download data from the file download service </w:t>
      </w:r>
    </w:p>
    <w:p w14:paraId="619FDF25" w14:textId="77777777" w:rsidR="00185AC3" w:rsidRDefault="00185AC3" w:rsidP="00C1588F">
      <w:pPr>
        <w:spacing w:line="276" w:lineRule="auto"/>
        <w:jc w:val="both"/>
        <w:rPr>
          <w:rFonts w:eastAsia="Times New Roman"/>
          <w:color w:val="000000"/>
          <w:lang w:eastAsia="en-GB"/>
        </w:rPr>
      </w:pPr>
      <w:bookmarkStart w:id="113" w:name="_Toc38982545"/>
      <w:bookmarkStart w:id="114" w:name="_Toc38982627"/>
      <w:bookmarkStart w:id="115" w:name="_Toc38982885"/>
      <w:bookmarkStart w:id="116" w:name="_Toc38983004"/>
      <w:bookmarkStart w:id="117" w:name="_Toc38983086"/>
      <w:bookmarkStart w:id="118" w:name="_Toc38983169"/>
      <w:bookmarkStart w:id="119" w:name="_Toc38983575"/>
      <w:bookmarkStart w:id="120" w:name="_Toc39061490"/>
      <w:bookmarkStart w:id="121" w:name="_Toc38982546"/>
      <w:bookmarkStart w:id="122" w:name="_Toc38982628"/>
      <w:bookmarkStart w:id="123" w:name="_Toc38982886"/>
      <w:bookmarkStart w:id="124" w:name="_Toc38983005"/>
      <w:bookmarkStart w:id="125" w:name="_Toc38983087"/>
      <w:bookmarkStart w:id="126" w:name="_Toc38983170"/>
      <w:bookmarkStart w:id="127" w:name="_Toc38983576"/>
      <w:bookmarkStart w:id="128" w:name="_Toc39061491"/>
      <w:bookmarkStart w:id="129" w:name="_Toc38982547"/>
      <w:bookmarkStart w:id="130" w:name="_Toc38982629"/>
      <w:bookmarkStart w:id="131" w:name="_Toc38982887"/>
      <w:bookmarkStart w:id="132" w:name="_Toc38983006"/>
      <w:bookmarkStart w:id="133" w:name="_Toc38983088"/>
      <w:bookmarkStart w:id="134" w:name="_Toc38983171"/>
      <w:bookmarkStart w:id="135" w:name="_Toc38983577"/>
      <w:bookmarkStart w:id="136" w:name="_Toc39061492"/>
      <w:bookmarkStart w:id="137" w:name="_Toc38982548"/>
      <w:bookmarkStart w:id="138" w:name="_Toc38982630"/>
      <w:bookmarkStart w:id="139" w:name="_Toc38982888"/>
      <w:bookmarkStart w:id="140" w:name="_Toc38983007"/>
      <w:bookmarkStart w:id="141" w:name="_Toc38983089"/>
      <w:bookmarkStart w:id="142" w:name="_Toc38983172"/>
      <w:bookmarkStart w:id="143" w:name="_Toc38983578"/>
      <w:bookmarkStart w:id="144" w:name="_Toc39061493"/>
      <w:bookmarkStart w:id="145" w:name="_Toc38982549"/>
      <w:bookmarkStart w:id="146" w:name="_Toc38982631"/>
      <w:bookmarkStart w:id="147" w:name="_Toc38982889"/>
      <w:bookmarkStart w:id="148" w:name="_Toc38983008"/>
      <w:bookmarkStart w:id="149" w:name="_Toc38983090"/>
      <w:bookmarkStart w:id="150" w:name="_Toc38983173"/>
      <w:bookmarkStart w:id="151" w:name="_Toc38983579"/>
      <w:bookmarkStart w:id="152" w:name="_Toc39061494"/>
      <w:bookmarkStart w:id="153" w:name="_Toc38982550"/>
      <w:bookmarkStart w:id="154" w:name="_Toc38982632"/>
      <w:bookmarkStart w:id="155" w:name="_Toc38982890"/>
      <w:bookmarkStart w:id="156" w:name="_Toc38983009"/>
      <w:bookmarkStart w:id="157" w:name="_Toc38983091"/>
      <w:bookmarkStart w:id="158" w:name="_Toc38983174"/>
      <w:bookmarkStart w:id="159" w:name="_Toc38983580"/>
      <w:bookmarkStart w:id="160" w:name="_Toc39061495"/>
      <w:bookmarkStart w:id="161" w:name="_Toc38982551"/>
      <w:bookmarkStart w:id="162" w:name="_Toc38982633"/>
      <w:bookmarkStart w:id="163" w:name="_Toc38982891"/>
      <w:bookmarkStart w:id="164" w:name="_Toc38983010"/>
      <w:bookmarkStart w:id="165" w:name="_Toc38983092"/>
      <w:bookmarkStart w:id="166" w:name="_Toc38983175"/>
      <w:bookmarkStart w:id="167" w:name="_Toc38983581"/>
      <w:bookmarkStart w:id="168" w:name="_Toc39061496"/>
      <w:bookmarkStart w:id="169" w:name="_Toc38982552"/>
      <w:bookmarkStart w:id="170" w:name="_Toc38982634"/>
      <w:bookmarkStart w:id="171" w:name="_Toc38982892"/>
      <w:bookmarkStart w:id="172" w:name="_Toc38983011"/>
      <w:bookmarkStart w:id="173" w:name="_Toc38983093"/>
      <w:bookmarkStart w:id="174" w:name="_Toc38983176"/>
      <w:bookmarkStart w:id="175" w:name="_Toc38983582"/>
      <w:bookmarkStart w:id="176" w:name="_Toc39061497"/>
      <w:bookmarkStart w:id="177" w:name="_Toc38982553"/>
      <w:bookmarkStart w:id="178" w:name="_Toc38982635"/>
      <w:bookmarkStart w:id="179" w:name="_Toc38982893"/>
      <w:bookmarkStart w:id="180" w:name="_Toc38983012"/>
      <w:bookmarkStart w:id="181" w:name="_Toc38983094"/>
      <w:bookmarkStart w:id="182" w:name="_Toc38983177"/>
      <w:bookmarkStart w:id="183" w:name="_Toc38983583"/>
      <w:bookmarkStart w:id="184" w:name="_Toc39061498"/>
      <w:bookmarkStart w:id="185" w:name="_Toc38982554"/>
      <w:bookmarkStart w:id="186" w:name="_Toc38982636"/>
      <w:bookmarkStart w:id="187" w:name="_Toc38982894"/>
      <w:bookmarkStart w:id="188" w:name="_Toc38983013"/>
      <w:bookmarkStart w:id="189" w:name="_Toc38983095"/>
      <w:bookmarkStart w:id="190" w:name="_Toc38983178"/>
      <w:bookmarkStart w:id="191" w:name="_Toc38983584"/>
      <w:bookmarkStart w:id="192" w:name="_Toc39061499"/>
      <w:bookmarkStart w:id="193" w:name="_Toc38982555"/>
      <w:bookmarkStart w:id="194" w:name="_Toc38982637"/>
      <w:bookmarkStart w:id="195" w:name="_Toc38982895"/>
      <w:bookmarkStart w:id="196" w:name="_Toc38983014"/>
      <w:bookmarkStart w:id="197" w:name="_Toc38983096"/>
      <w:bookmarkStart w:id="198" w:name="_Toc38983179"/>
      <w:bookmarkStart w:id="199" w:name="_Toc38983585"/>
      <w:bookmarkStart w:id="200" w:name="_Toc39061500"/>
      <w:bookmarkStart w:id="201" w:name="_Toc38982556"/>
      <w:bookmarkStart w:id="202" w:name="_Toc38982638"/>
      <w:bookmarkStart w:id="203" w:name="_Toc38982896"/>
      <w:bookmarkStart w:id="204" w:name="_Toc38983015"/>
      <w:bookmarkStart w:id="205" w:name="_Toc38983097"/>
      <w:bookmarkStart w:id="206" w:name="_Toc38983180"/>
      <w:bookmarkStart w:id="207" w:name="_Toc38983586"/>
      <w:bookmarkStart w:id="208" w:name="_Toc39061501"/>
      <w:bookmarkStart w:id="209" w:name="_Toc38982557"/>
      <w:bookmarkStart w:id="210" w:name="_Toc38982639"/>
      <w:bookmarkStart w:id="211" w:name="_Toc38982897"/>
      <w:bookmarkStart w:id="212" w:name="_Toc38983016"/>
      <w:bookmarkStart w:id="213" w:name="_Toc38983098"/>
      <w:bookmarkStart w:id="214" w:name="_Toc38983181"/>
      <w:bookmarkStart w:id="215" w:name="_Toc38983587"/>
      <w:bookmarkStart w:id="216" w:name="_Toc39061502"/>
      <w:bookmarkStart w:id="217" w:name="_Toc38982558"/>
      <w:bookmarkStart w:id="218" w:name="_Toc38982640"/>
      <w:bookmarkStart w:id="219" w:name="_Toc38982898"/>
      <w:bookmarkStart w:id="220" w:name="_Toc38983017"/>
      <w:bookmarkStart w:id="221" w:name="_Toc38983099"/>
      <w:bookmarkStart w:id="222" w:name="_Toc38983182"/>
      <w:bookmarkStart w:id="223" w:name="_Toc38983588"/>
      <w:bookmarkStart w:id="224" w:name="_Toc39061503"/>
      <w:bookmarkStart w:id="225" w:name="_Toc38982559"/>
      <w:bookmarkStart w:id="226" w:name="_Toc38982641"/>
      <w:bookmarkStart w:id="227" w:name="_Toc38982899"/>
      <w:bookmarkStart w:id="228" w:name="_Toc38983018"/>
      <w:bookmarkStart w:id="229" w:name="_Toc38983100"/>
      <w:bookmarkStart w:id="230" w:name="_Toc38983183"/>
      <w:bookmarkStart w:id="231" w:name="_Toc38983589"/>
      <w:bookmarkStart w:id="232" w:name="_Toc39061504"/>
      <w:bookmarkStart w:id="233" w:name="_Toc38982560"/>
      <w:bookmarkStart w:id="234" w:name="_Toc38982642"/>
      <w:bookmarkStart w:id="235" w:name="_Toc38982900"/>
      <w:bookmarkStart w:id="236" w:name="_Toc38983019"/>
      <w:bookmarkStart w:id="237" w:name="_Toc38983101"/>
      <w:bookmarkStart w:id="238" w:name="_Toc38983184"/>
      <w:bookmarkStart w:id="239" w:name="_Toc38983590"/>
      <w:bookmarkStart w:id="240" w:name="_Toc39061505"/>
      <w:bookmarkStart w:id="241" w:name="_Toc38982561"/>
      <w:bookmarkStart w:id="242" w:name="_Toc38982643"/>
      <w:bookmarkStart w:id="243" w:name="_Toc38982901"/>
      <w:bookmarkStart w:id="244" w:name="_Toc38983020"/>
      <w:bookmarkStart w:id="245" w:name="_Toc38983102"/>
      <w:bookmarkStart w:id="246" w:name="_Toc38983185"/>
      <w:bookmarkStart w:id="247" w:name="_Toc38983591"/>
      <w:bookmarkStart w:id="248" w:name="_Toc39061506"/>
      <w:bookmarkStart w:id="249" w:name="_Toc38982562"/>
      <w:bookmarkStart w:id="250" w:name="_Toc38982644"/>
      <w:bookmarkStart w:id="251" w:name="_Toc38982902"/>
      <w:bookmarkStart w:id="252" w:name="_Toc38983021"/>
      <w:bookmarkStart w:id="253" w:name="_Toc38983103"/>
      <w:bookmarkStart w:id="254" w:name="_Toc38983186"/>
      <w:bookmarkStart w:id="255" w:name="_Toc38983592"/>
      <w:bookmarkStart w:id="256" w:name="_Toc39061507"/>
      <w:bookmarkStart w:id="257" w:name="_Toc38982563"/>
      <w:bookmarkStart w:id="258" w:name="_Toc38982645"/>
      <w:bookmarkStart w:id="259" w:name="_Toc38982903"/>
      <w:bookmarkStart w:id="260" w:name="_Toc38983022"/>
      <w:bookmarkStart w:id="261" w:name="_Toc38983104"/>
      <w:bookmarkStart w:id="262" w:name="_Toc38983187"/>
      <w:bookmarkStart w:id="263" w:name="_Toc38983593"/>
      <w:bookmarkStart w:id="264" w:name="_Toc39061508"/>
      <w:bookmarkStart w:id="265" w:name="_Toc38982564"/>
      <w:bookmarkStart w:id="266" w:name="_Toc38982646"/>
      <w:bookmarkStart w:id="267" w:name="_Toc38982904"/>
      <w:bookmarkStart w:id="268" w:name="_Toc38983023"/>
      <w:bookmarkStart w:id="269" w:name="_Toc38983105"/>
      <w:bookmarkStart w:id="270" w:name="_Toc38983188"/>
      <w:bookmarkStart w:id="271" w:name="_Toc38983594"/>
      <w:bookmarkStart w:id="272" w:name="_Toc39061509"/>
      <w:bookmarkStart w:id="273" w:name="_Toc38982565"/>
      <w:bookmarkStart w:id="274" w:name="_Toc38982647"/>
      <w:bookmarkStart w:id="275" w:name="_Toc38982905"/>
      <w:bookmarkStart w:id="276" w:name="_Toc38983024"/>
      <w:bookmarkStart w:id="277" w:name="_Toc38983106"/>
      <w:bookmarkStart w:id="278" w:name="_Toc38983189"/>
      <w:bookmarkStart w:id="279" w:name="_Toc38983595"/>
      <w:bookmarkStart w:id="280" w:name="_Toc39061510"/>
      <w:bookmarkStart w:id="281" w:name="_Toc38982566"/>
      <w:bookmarkStart w:id="282" w:name="_Toc38982648"/>
      <w:bookmarkStart w:id="283" w:name="_Toc38982906"/>
      <w:bookmarkStart w:id="284" w:name="_Toc38983025"/>
      <w:bookmarkStart w:id="285" w:name="_Toc38983107"/>
      <w:bookmarkStart w:id="286" w:name="_Toc38983190"/>
      <w:bookmarkStart w:id="287" w:name="_Toc38983596"/>
      <w:bookmarkStart w:id="288" w:name="_Toc39061511"/>
      <w:bookmarkStart w:id="289" w:name="_Toc38982567"/>
      <w:bookmarkStart w:id="290" w:name="_Toc38982649"/>
      <w:bookmarkStart w:id="291" w:name="_Toc38982907"/>
      <w:bookmarkStart w:id="292" w:name="_Toc38983026"/>
      <w:bookmarkStart w:id="293" w:name="_Toc38983108"/>
      <w:bookmarkStart w:id="294" w:name="_Toc38983191"/>
      <w:bookmarkStart w:id="295" w:name="_Toc38983597"/>
      <w:bookmarkStart w:id="296" w:name="_Toc39061512"/>
      <w:bookmarkStart w:id="297" w:name="_Toc38982568"/>
      <w:bookmarkStart w:id="298" w:name="_Toc38982650"/>
      <w:bookmarkStart w:id="299" w:name="_Toc38982908"/>
      <w:bookmarkStart w:id="300" w:name="_Toc38983027"/>
      <w:bookmarkStart w:id="301" w:name="_Toc38983109"/>
      <w:bookmarkStart w:id="302" w:name="_Toc38983192"/>
      <w:bookmarkStart w:id="303" w:name="_Toc38983598"/>
      <w:bookmarkStart w:id="304" w:name="_Toc39061513"/>
      <w:bookmarkStart w:id="305" w:name="_Toc38982569"/>
      <w:bookmarkStart w:id="306" w:name="_Toc38982651"/>
      <w:bookmarkStart w:id="307" w:name="_Toc38982909"/>
      <w:bookmarkStart w:id="308" w:name="_Toc38983028"/>
      <w:bookmarkStart w:id="309" w:name="_Toc38983110"/>
      <w:bookmarkStart w:id="310" w:name="_Toc38983193"/>
      <w:bookmarkStart w:id="311" w:name="_Toc38983599"/>
      <w:bookmarkStart w:id="312" w:name="_Toc39061514"/>
      <w:bookmarkStart w:id="313" w:name="_Toc38982570"/>
      <w:bookmarkStart w:id="314" w:name="_Toc38982652"/>
      <w:bookmarkStart w:id="315" w:name="_Toc38982910"/>
      <w:bookmarkStart w:id="316" w:name="_Toc38983029"/>
      <w:bookmarkStart w:id="317" w:name="_Toc38983111"/>
      <w:bookmarkStart w:id="318" w:name="_Toc38983194"/>
      <w:bookmarkStart w:id="319" w:name="_Toc38983600"/>
      <w:bookmarkStart w:id="320" w:name="_Toc39061515"/>
      <w:bookmarkStart w:id="321" w:name="_Toc38982571"/>
      <w:bookmarkStart w:id="322" w:name="_Toc38982653"/>
      <w:bookmarkStart w:id="323" w:name="_Toc38982911"/>
      <w:bookmarkStart w:id="324" w:name="_Toc38983030"/>
      <w:bookmarkStart w:id="325" w:name="_Toc38983112"/>
      <w:bookmarkStart w:id="326" w:name="_Toc38983195"/>
      <w:bookmarkStart w:id="327" w:name="_Toc38983601"/>
      <w:bookmarkStart w:id="328" w:name="_Toc39061516"/>
      <w:bookmarkStart w:id="329" w:name="_Toc38982572"/>
      <w:bookmarkStart w:id="330" w:name="_Toc38982654"/>
      <w:bookmarkStart w:id="331" w:name="_Toc38982912"/>
      <w:bookmarkStart w:id="332" w:name="_Toc38983031"/>
      <w:bookmarkStart w:id="333" w:name="_Toc38983113"/>
      <w:bookmarkStart w:id="334" w:name="_Toc38983196"/>
      <w:bookmarkStart w:id="335" w:name="_Toc38983602"/>
      <w:bookmarkStart w:id="336" w:name="_Toc39061517"/>
      <w:bookmarkStart w:id="337" w:name="_Toc38982573"/>
      <w:bookmarkStart w:id="338" w:name="_Toc38982655"/>
      <w:bookmarkStart w:id="339" w:name="_Toc38982913"/>
      <w:bookmarkStart w:id="340" w:name="_Toc38983032"/>
      <w:bookmarkStart w:id="341" w:name="_Toc38983114"/>
      <w:bookmarkStart w:id="342" w:name="_Toc38983197"/>
      <w:bookmarkStart w:id="343" w:name="_Toc38983603"/>
      <w:bookmarkStart w:id="344" w:name="_Toc39061518"/>
      <w:bookmarkStart w:id="345" w:name="_Toc38982574"/>
      <w:bookmarkStart w:id="346" w:name="_Toc38982656"/>
      <w:bookmarkStart w:id="347" w:name="_Toc38982914"/>
      <w:bookmarkStart w:id="348" w:name="_Toc38983033"/>
      <w:bookmarkStart w:id="349" w:name="_Toc38983115"/>
      <w:bookmarkStart w:id="350" w:name="_Toc38983198"/>
      <w:bookmarkStart w:id="351" w:name="_Toc38983604"/>
      <w:bookmarkStart w:id="352" w:name="_Toc39061519"/>
      <w:bookmarkStart w:id="353" w:name="_Toc38982575"/>
      <w:bookmarkStart w:id="354" w:name="_Toc38982657"/>
      <w:bookmarkStart w:id="355" w:name="_Toc38982915"/>
      <w:bookmarkStart w:id="356" w:name="_Toc38983034"/>
      <w:bookmarkStart w:id="357" w:name="_Toc38983116"/>
      <w:bookmarkStart w:id="358" w:name="_Toc38983199"/>
      <w:bookmarkStart w:id="359" w:name="_Toc38983605"/>
      <w:bookmarkStart w:id="360" w:name="_Toc39061520"/>
      <w:bookmarkStart w:id="361" w:name="_Toc38982576"/>
      <w:bookmarkStart w:id="362" w:name="_Toc38982658"/>
      <w:bookmarkStart w:id="363" w:name="_Toc38982916"/>
      <w:bookmarkStart w:id="364" w:name="_Toc38983035"/>
      <w:bookmarkStart w:id="365" w:name="_Toc38983117"/>
      <w:bookmarkStart w:id="366" w:name="_Toc38983200"/>
      <w:bookmarkStart w:id="367" w:name="_Toc38983606"/>
      <w:bookmarkStart w:id="368" w:name="_Toc39061521"/>
      <w:bookmarkStart w:id="369" w:name="_Toc38982577"/>
      <w:bookmarkStart w:id="370" w:name="_Toc38982659"/>
      <w:bookmarkStart w:id="371" w:name="_Toc38982917"/>
      <w:bookmarkStart w:id="372" w:name="_Toc38983036"/>
      <w:bookmarkStart w:id="373" w:name="_Toc38983118"/>
      <w:bookmarkStart w:id="374" w:name="_Toc38983201"/>
      <w:bookmarkStart w:id="375" w:name="_Toc38983607"/>
      <w:bookmarkStart w:id="376" w:name="_Toc39061522"/>
      <w:bookmarkStart w:id="377" w:name="_Toc38982578"/>
      <w:bookmarkStart w:id="378" w:name="_Toc38982660"/>
      <w:bookmarkStart w:id="379" w:name="_Toc38982918"/>
      <w:bookmarkStart w:id="380" w:name="_Toc38983037"/>
      <w:bookmarkStart w:id="381" w:name="_Toc38983119"/>
      <w:bookmarkStart w:id="382" w:name="_Toc38983202"/>
      <w:bookmarkStart w:id="383" w:name="_Toc38983608"/>
      <w:bookmarkStart w:id="384" w:name="_Toc39061523"/>
      <w:bookmarkStart w:id="385" w:name="_Toc38982579"/>
      <w:bookmarkStart w:id="386" w:name="_Toc38982661"/>
      <w:bookmarkStart w:id="387" w:name="_Toc38982919"/>
      <w:bookmarkStart w:id="388" w:name="_Toc38983038"/>
      <w:bookmarkStart w:id="389" w:name="_Toc38983120"/>
      <w:bookmarkStart w:id="390" w:name="_Toc38983203"/>
      <w:bookmarkStart w:id="391" w:name="_Toc38983609"/>
      <w:bookmarkStart w:id="392" w:name="_Toc39061524"/>
      <w:bookmarkStart w:id="393" w:name="_Toc38982580"/>
      <w:bookmarkStart w:id="394" w:name="_Toc38982662"/>
      <w:bookmarkStart w:id="395" w:name="_Toc38982920"/>
      <w:bookmarkStart w:id="396" w:name="_Toc38983039"/>
      <w:bookmarkStart w:id="397" w:name="_Toc38983121"/>
      <w:bookmarkStart w:id="398" w:name="_Toc38983204"/>
      <w:bookmarkStart w:id="399" w:name="_Toc38983610"/>
      <w:bookmarkStart w:id="400" w:name="_Toc39061525"/>
      <w:bookmarkStart w:id="401" w:name="_Toc38982581"/>
      <w:bookmarkStart w:id="402" w:name="_Toc38982663"/>
      <w:bookmarkStart w:id="403" w:name="_Toc38982921"/>
      <w:bookmarkStart w:id="404" w:name="_Toc38983040"/>
      <w:bookmarkStart w:id="405" w:name="_Toc38983122"/>
      <w:bookmarkStart w:id="406" w:name="_Toc38983205"/>
      <w:bookmarkStart w:id="407" w:name="_Toc38983611"/>
      <w:bookmarkStart w:id="408" w:name="_Toc39061526"/>
      <w:bookmarkStart w:id="409" w:name="_Toc38982582"/>
      <w:bookmarkStart w:id="410" w:name="_Toc38982664"/>
      <w:bookmarkStart w:id="411" w:name="_Toc38982922"/>
      <w:bookmarkStart w:id="412" w:name="_Toc38983041"/>
      <w:bookmarkStart w:id="413" w:name="_Toc38983123"/>
      <w:bookmarkStart w:id="414" w:name="_Toc38983206"/>
      <w:bookmarkStart w:id="415" w:name="_Toc38983612"/>
      <w:bookmarkStart w:id="416" w:name="_Toc39061527"/>
      <w:bookmarkStart w:id="417" w:name="_Toc38982583"/>
      <w:bookmarkStart w:id="418" w:name="_Toc38982665"/>
      <w:bookmarkStart w:id="419" w:name="_Toc38982923"/>
      <w:bookmarkStart w:id="420" w:name="_Toc38983042"/>
      <w:bookmarkStart w:id="421" w:name="_Toc38983124"/>
      <w:bookmarkStart w:id="422" w:name="_Toc38983207"/>
      <w:bookmarkStart w:id="423" w:name="_Toc38983613"/>
      <w:bookmarkStart w:id="424" w:name="_Toc39061528"/>
      <w:bookmarkStart w:id="425" w:name="_Toc38982584"/>
      <w:bookmarkStart w:id="426" w:name="_Toc38982666"/>
      <w:bookmarkStart w:id="427" w:name="_Toc38982924"/>
      <w:bookmarkStart w:id="428" w:name="_Toc38983043"/>
      <w:bookmarkStart w:id="429" w:name="_Toc38983125"/>
      <w:bookmarkStart w:id="430" w:name="_Toc38983208"/>
      <w:bookmarkStart w:id="431" w:name="_Toc38983614"/>
      <w:bookmarkStart w:id="432" w:name="_Toc39061529"/>
      <w:bookmarkStart w:id="433" w:name="_Toc38982585"/>
      <w:bookmarkStart w:id="434" w:name="_Toc38982667"/>
      <w:bookmarkStart w:id="435" w:name="_Toc38982925"/>
      <w:bookmarkStart w:id="436" w:name="_Toc38983044"/>
      <w:bookmarkStart w:id="437" w:name="_Toc38983126"/>
      <w:bookmarkStart w:id="438" w:name="_Toc38983209"/>
      <w:bookmarkStart w:id="439" w:name="_Toc38983615"/>
      <w:bookmarkStart w:id="440" w:name="_Toc39061530"/>
      <w:bookmarkStart w:id="441" w:name="_Toc38982586"/>
      <w:bookmarkStart w:id="442" w:name="_Toc38982668"/>
      <w:bookmarkStart w:id="443" w:name="_Toc38982926"/>
      <w:bookmarkStart w:id="444" w:name="_Toc38983045"/>
      <w:bookmarkStart w:id="445" w:name="_Toc38983127"/>
      <w:bookmarkStart w:id="446" w:name="_Toc38983210"/>
      <w:bookmarkStart w:id="447" w:name="_Toc38983616"/>
      <w:bookmarkStart w:id="448" w:name="_Toc39061531"/>
      <w:bookmarkStart w:id="449" w:name="_Toc38982587"/>
      <w:bookmarkStart w:id="450" w:name="_Toc38982669"/>
      <w:bookmarkStart w:id="451" w:name="_Toc38982927"/>
      <w:bookmarkStart w:id="452" w:name="_Toc38983046"/>
      <w:bookmarkStart w:id="453" w:name="_Toc38983128"/>
      <w:bookmarkStart w:id="454" w:name="_Toc38983211"/>
      <w:bookmarkStart w:id="455" w:name="_Toc38983617"/>
      <w:bookmarkStart w:id="456" w:name="_Toc39061532"/>
      <w:bookmarkStart w:id="457" w:name="_Toc38982588"/>
      <w:bookmarkStart w:id="458" w:name="_Toc38982670"/>
      <w:bookmarkStart w:id="459" w:name="_Toc38982928"/>
      <w:bookmarkStart w:id="460" w:name="_Toc38983047"/>
      <w:bookmarkStart w:id="461" w:name="_Toc38983129"/>
      <w:bookmarkStart w:id="462" w:name="_Toc38983212"/>
      <w:bookmarkStart w:id="463" w:name="_Toc38983618"/>
      <w:bookmarkStart w:id="464" w:name="_Toc39061533"/>
      <w:bookmarkStart w:id="465" w:name="_Toc38982589"/>
      <w:bookmarkStart w:id="466" w:name="_Toc38982671"/>
      <w:bookmarkStart w:id="467" w:name="_Toc38982929"/>
      <w:bookmarkStart w:id="468" w:name="_Toc38983048"/>
      <w:bookmarkStart w:id="469" w:name="_Toc38983130"/>
      <w:bookmarkStart w:id="470" w:name="_Toc38983213"/>
      <w:bookmarkStart w:id="471" w:name="_Toc38983619"/>
      <w:bookmarkStart w:id="472" w:name="_Toc39061534"/>
      <w:bookmarkStart w:id="473" w:name="_Toc38982590"/>
      <w:bookmarkStart w:id="474" w:name="_Toc38982672"/>
      <w:bookmarkStart w:id="475" w:name="_Toc38982930"/>
      <w:bookmarkStart w:id="476" w:name="_Toc38983049"/>
      <w:bookmarkStart w:id="477" w:name="_Toc38983131"/>
      <w:bookmarkStart w:id="478" w:name="_Toc38983214"/>
      <w:bookmarkStart w:id="479" w:name="_Toc38983620"/>
      <w:bookmarkStart w:id="480" w:name="_Toc39061535"/>
      <w:bookmarkStart w:id="481" w:name="_Toc38982591"/>
      <w:bookmarkStart w:id="482" w:name="_Toc38982673"/>
      <w:bookmarkStart w:id="483" w:name="_Toc38982931"/>
      <w:bookmarkStart w:id="484" w:name="_Toc38983050"/>
      <w:bookmarkStart w:id="485" w:name="_Toc38983132"/>
      <w:bookmarkStart w:id="486" w:name="_Toc38983215"/>
      <w:bookmarkStart w:id="487" w:name="_Toc38983621"/>
      <w:bookmarkStart w:id="488" w:name="_Toc39061536"/>
      <w:bookmarkStart w:id="489" w:name="_Toc38982592"/>
      <w:bookmarkStart w:id="490" w:name="_Toc38982674"/>
      <w:bookmarkStart w:id="491" w:name="_Toc38982932"/>
      <w:bookmarkStart w:id="492" w:name="_Toc38983051"/>
      <w:bookmarkStart w:id="493" w:name="_Toc38983133"/>
      <w:bookmarkStart w:id="494" w:name="_Toc38983216"/>
      <w:bookmarkStart w:id="495" w:name="_Toc38983622"/>
      <w:bookmarkStart w:id="496" w:name="_Toc39061537"/>
      <w:bookmarkStart w:id="497" w:name="_Toc38982593"/>
      <w:bookmarkStart w:id="498" w:name="_Toc38982675"/>
      <w:bookmarkStart w:id="499" w:name="_Toc38982933"/>
      <w:bookmarkStart w:id="500" w:name="_Toc38983052"/>
      <w:bookmarkStart w:id="501" w:name="_Toc38983134"/>
      <w:bookmarkStart w:id="502" w:name="_Toc38983217"/>
      <w:bookmarkStart w:id="503" w:name="_Toc38983623"/>
      <w:bookmarkStart w:id="504" w:name="_Toc39061538"/>
      <w:bookmarkStart w:id="505" w:name="_Toc38982594"/>
      <w:bookmarkStart w:id="506" w:name="_Toc38982676"/>
      <w:bookmarkStart w:id="507" w:name="_Toc38982934"/>
      <w:bookmarkStart w:id="508" w:name="_Toc38983053"/>
      <w:bookmarkStart w:id="509" w:name="_Toc38983135"/>
      <w:bookmarkStart w:id="510" w:name="_Toc38983218"/>
      <w:bookmarkStart w:id="511" w:name="_Toc38983624"/>
      <w:bookmarkStart w:id="512" w:name="_Toc39061539"/>
      <w:bookmarkStart w:id="513" w:name="_Toc38982595"/>
      <w:bookmarkStart w:id="514" w:name="_Toc38982677"/>
      <w:bookmarkStart w:id="515" w:name="_Toc38982935"/>
      <w:bookmarkStart w:id="516" w:name="_Toc38983054"/>
      <w:bookmarkStart w:id="517" w:name="_Toc38983136"/>
      <w:bookmarkStart w:id="518" w:name="_Toc38983219"/>
      <w:bookmarkStart w:id="519" w:name="_Toc38983625"/>
      <w:bookmarkStart w:id="520" w:name="_Toc39061540"/>
      <w:bookmarkStart w:id="521" w:name="_Toc38982596"/>
      <w:bookmarkStart w:id="522" w:name="_Toc38982678"/>
      <w:bookmarkStart w:id="523" w:name="_Toc38982936"/>
      <w:bookmarkStart w:id="524" w:name="_Toc38983055"/>
      <w:bookmarkStart w:id="525" w:name="_Toc38983137"/>
      <w:bookmarkStart w:id="526" w:name="_Toc38983220"/>
      <w:bookmarkStart w:id="527" w:name="_Toc38983626"/>
      <w:bookmarkStart w:id="528" w:name="_Toc39061541"/>
      <w:bookmarkStart w:id="529" w:name="_Toc38982597"/>
      <w:bookmarkStart w:id="530" w:name="_Toc38982679"/>
      <w:bookmarkStart w:id="531" w:name="_Toc38982937"/>
      <w:bookmarkStart w:id="532" w:name="_Toc38983056"/>
      <w:bookmarkStart w:id="533" w:name="_Toc38983138"/>
      <w:bookmarkStart w:id="534" w:name="_Toc38983221"/>
      <w:bookmarkStart w:id="535" w:name="_Toc38983627"/>
      <w:bookmarkStart w:id="536" w:name="_Toc39061542"/>
      <w:bookmarkStart w:id="537" w:name="_Toc38982598"/>
      <w:bookmarkStart w:id="538" w:name="_Toc38982680"/>
      <w:bookmarkStart w:id="539" w:name="_Toc38982938"/>
      <w:bookmarkStart w:id="540" w:name="_Toc38983057"/>
      <w:bookmarkStart w:id="541" w:name="_Toc38983139"/>
      <w:bookmarkStart w:id="542" w:name="_Toc38983222"/>
      <w:bookmarkStart w:id="543" w:name="_Toc38983628"/>
      <w:bookmarkStart w:id="544" w:name="_Toc39061543"/>
      <w:bookmarkStart w:id="545" w:name="_Toc38982599"/>
      <w:bookmarkStart w:id="546" w:name="_Toc38982681"/>
      <w:bookmarkStart w:id="547" w:name="_Toc38982939"/>
      <w:bookmarkStart w:id="548" w:name="_Toc38983058"/>
      <w:bookmarkStart w:id="549" w:name="_Toc38983140"/>
      <w:bookmarkStart w:id="550" w:name="_Toc38983223"/>
      <w:bookmarkStart w:id="551" w:name="_Toc38983629"/>
      <w:bookmarkStart w:id="552" w:name="_Toc39061544"/>
      <w:bookmarkStart w:id="553" w:name="_Toc38982600"/>
      <w:bookmarkStart w:id="554" w:name="_Toc38982682"/>
      <w:bookmarkStart w:id="555" w:name="_Toc38982940"/>
      <w:bookmarkStart w:id="556" w:name="_Toc38983059"/>
      <w:bookmarkStart w:id="557" w:name="_Toc38983141"/>
      <w:bookmarkStart w:id="558" w:name="_Toc38983224"/>
      <w:bookmarkStart w:id="559" w:name="_Toc38983630"/>
      <w:bookmarkStart w:id="560" w:name="_Toc39061545"/>
      <w:bookmarkStart w:id="561" w:name="_Toc38982601"/>
      <w:bookmarkStart w:id="562" w:name="_Toc38982683"/>
      <w:bookmarkStart w:id="563" w:name="_Toc38982941"/>
      <w:bookmarkStart w:id="564" w:name="_Toc38983060"/>
      <w:bookmarkStart w:id="565" w:name="_Toc38983142"/>
      <w:bookmarkStart w:id="566" w:name="_Toc38983225"/>
      <w:bookmarkStart w:id="567" w:name="_Toc38983631"/>
      <w:bookmarkStart w:id="568" w:name="_Toc39061546"/>
      <w:bookmarkStart w:id="569" w:name="_Ref13043910"/>
      <w:bookmarkStart w:id="570" w:name="_Toc13087159"/>
      <w:bookmarkEnd w:id="4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4D408C05" w14:textId="77777777" w:rsidR="00185AC3" w:rsidRDefault="00185AC3" w:rsidP="0048715D">
      <w:pPr>
        <w:pStyle w:val="Heading2"/>
        <w:spacing w:before="0" w:line="276" w:lineRule="auto"/>
      </w:pPr>
      <w:bookmarkStart w:id="571" w:name="_Toc60651788"/>
      <w:bookmarkStart w:id="572" w:name="_Ref60652486"/>
      <w:bookmarkStart w:id="573" w:name="_Toc38842412"/>
      <w:bookmarkStart w:id="574" w:name="_Ref39061181"/>
      <w:bookmarkStart w:id="575" w:name="_Toc61255932"/>
      <w:r>
        <w:rPr>
          <w:noProof/>
        </w:rPr>
        <mc:AlternateContent>
          <mc:Choice Requires="wps">
            <w:drawing>
              <wp:anchor distT="45720" distB="45720" distL="114300" distR="114300" simplePos="0" relativeHeight="251672064" behindDoc="0" locked="0" layoutInCell="1" allowOverlap="1" wp14:anchorId="15F9E0D1" wp14:editId="2E32803A">
                <wp:simplePos x="0" y="0"/>
                <wp:positionH relativeFrom="margin">
                  <wp:posOffset>29210</wp:posOffset>
                </wp:positionH>
                <wp:positionV relativeFrom="paragraph">
                  <wp:posOffset>334645</wp:posOffset>
                </wp:positionV>
                <wp:extent cx="5716905" cy="2477135"/>
                <wp:effectExtent l="0" t="0" r="1714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477135"/>
                        </a:xfrm>
                        <a:prstGeom prst="rect">
                          <a:avLst/>
                        </a:prstGeom>
                        <a:solidFill>
                          <a:srgbClr val="FFFFFF"/>
                        </a:solidFill>
                        <a:ln w="9525">
                          <a:solidFill>
                            <a:srgbClr val="04AEB9"/>
                          </a:solidFill>
                          <a:miter lim="800000"/>
                          <a:headEnd/>
                          <a:tailEnd/>
                        </a:ln>
                      </wps:spPr>
                      <wps:txbx>
                        <w:txbxContent>
                          <w:p w14:paraId="432953D4" w14:textId="77777777" w:rsidR="00185AC3" w:rsidRDefault="00185AC3" w:rsidP="00185AC3">
                            <w:pPr>
                              <w:rPr>
                                <w:rStyle w:val="normaltextrun"/>
                                <w:rFonts w:ascii="Calibri" w:hAnsi="Calibri" w:cs="Calibri"/>
                                <w:b/>
                                <w:bCs/>
                                <w:color w:val="000000"/>
                              </w:rPr>
                            </w:pPr>
                            <w:r>
                              <w:rPr>
                                <w:rStyle w:val="normaltextrun"/>
                                <w:rFonts w:ascii="Calibri" w:hAnsi="Calibri" w:cs="Calibri"/>
                                <w:b/>
                                <w:bCs/>
                                <w:color w:val="000000"/>
                              </w:rPr>
                              <w:t xml:space="preserve">Summary: </w:t>
                            </w:r>
                          </w:p>
                          <w:p w14:paraId="2381C30C" w14:textId="77777777" w:rsidR="00185AC3" w:rsidRDefault="00185AC3" w:rsidP="00185AC3">
                            <w:pPr>
                              <w:rPr>
                                <w:rStyle w:val="normaltextrun"/>
                                <w:rFonts w:ascii="Calibri" w:hAnsi="Calibri" w:cs="Calibri"/>
                                <w:color w:val="000000"/>
                              </w:rPr>
                            </w:pPr>
                            <w:r>
                              <w:rPr>
                                <w:rStyle w:val="normaltextrun"/>
                                <w:rFonts w:ascii="Calibri" w:hAnsi="Calibri" w:cs="Calibri"/>
                                <w:color w:val="000000"/>
                              </w:rPr>
                              <w:t>Given the lower anticipated UPI volumes (compared to the existing OTC ISIN</w:t>
                            </w:r>
                            <w:r w:rsidRPr="009E3344">
                              <w:rPr>
                                <w:rStyle w:val="normaltextrun"/>
                                <w:rFonts w:ascii="Calibri" w:hAnsi="Calibri" w:cs="Calibri"/>
                                <w:color w:val="000000"/>
                              </w:rPr>
                              <w:t xml:space="preserve"> </w:t>
                            </w:r>
                            <w:r>
                              <w:rPr>
                                <w:rStyle w:val="normaltextrun"/>
                                <w:rFonts w:ascii="Calibri" w:hAnsi="Calibri" w:cs="Calibri"/>
                                <w:color w:val="000000"/>
                              </w:rPr>
                              <w:t>service), the DSB foresees a risk that a larger proportion of the UPI user base (compared to the OTC ISIN service) may rely exclusively on the DSB’s free service, which includes the daily generated machine-readable download files. In this circumstance, the cost for each fee-paying user would be higher than otherwise.</w:t>
                            </w:r>
                          </w:p>
                          <w:p w14:paraId="4424690B" w14:textId="77777777" w:rsidR="00185AC3" w:rsidRPr="006F6406" w:rsidRDefault="00185AC3" w:rsidP="00185AC3">
                            <w:pPr>
                              <w:rPr>
                                <w:rStyle w:val="normaltextrun"/>
                                <w:rFonts w:ascii="Calibri" w:hAnsi="Calibri" w:cs="Calibri"/>
                                <w:color w:val="000000"/>
                              </w:rPr>
                            </w:pPr>
                            <w:r>
                              <w:rPr>
                                <w:rStyle w:val="normaltextrun"/>
                                <w:rFonts w:ascii="Calibri" w:hAnsi="Calibri" w:cs="Calibri"/>
                                <w:color w:val="000000"/>
                              </w:rPr>
                              <w:t xml:space="preserve">In order to mitigate this risk, the DSB proposes to provide access to the daily data files with a </w:t>
                            </w:r>
                            <w:proofErr w:type="gramStart"/>
                            <w:r>
                              <w:rPr>
                                <w:rStyle w:val="normaltextrun"/>
                                <w:rFonts w:ascii="Calibri" w:hAnsi="Calibri" w:cs="Calibri"/>
                                <w:color w:val="000000"/>
                              </w:rPr>
                              <w:t>two day</w:t>
                            </w:r>
                            <w:proofErr w:type="gramEnd"/>
                            <w:r>
                              <w:rPr>
                                <w:rStyle w:val="normaltextrun"/>
                                <w:rFonts w:ascii="Calibri" w:hAnsi="Calibri" w:cs="Calibri"/>
                                <w:color w:val="000000"/>
                              </w:rPr>
                              <w:t xml:space="preserve"> time-delay. </w:t>
                            </w:r>
                          </w:p>
                          <w:p w14:paraId="43DEA1FD" w14:textId="77777777" w:rsidR="00185AC3" w:rsidRDefault="00185AC3" w:rsidP="00185AC3">
                            <w:pPr>
                              <w:rPr>
                                <w:rStyle w:val="normaltextrun"/>
                                <w:rFonts w:ascii="Calibri" w:hAnsi="Calibri" w:cs="Calibri"/>
                                <w:b/>
                                <w:bCs/>
                                <w:color w:val="000000"/>
                              </w:rPr>
                            </w:pPr>
                            <w:r>
                              <w:rPr>
                                <w:rStyle w:val="normaltextrun"/>
                                <w:rFonts w:ascii="Calibri" w:hAnsi="Calibri" w:cs="Calibri"/>
                                <w:b/>
                                <w:bCs/>
                                <w:color w:val="000000"/>
                              </w:rPr>
                              <w:t xml:space="preserve">Question 4: </w:t>
                            </w:r>
                            <w:r w:rsidRPr="00E63BBE">
                              <w:rPr>
                                <w:rStyle w:val="normaltextrun"/>
                                <w:rFonts w:ascii="Calibri" w:hAnsi="Calibri" w:cs="Calibri"/>
                                <w:b/>
                                <w:i/>
                                <w:color w:val="000000"/>
                              </w:rPr>
                              <w:t xml:space="preserve">Do you agree that the DSB should provide access to the UPI end of day data files with a </w:t>
                            </w:r>
                            <w:proofErr w:type="gramStart"/>
                            <w:r w:rsidRPr="00E63BBE">
                              <w:rPr>
                                <w:rStyle w:val="normaltextrun"/>
                                <w:rFonts w:ascii="Calibri" w:hAnsi="Calibri" w:cs="Calibri"/>
                                <w:b/>
                                <w:i/>
                                <w:color w:val="000000"/>
                              </w:rPr>
                              <w:t>two day</w:t>
                            </w:r>
                            <w:proofErr w:type="gramEnd"/>
                            <w:r w:rsidRPr="00E63BBE">
                              <w:rPr>
                                <w:rStyle w:val="normaltextrun"/>
                                <w:rFonts w:ascii="Calibri" w:hAnsi="Calibri" w:cs="Calibri"/>
                                <w:b/>
                                <w:i/>
                                <w:color w:val="000000"/>
                              </w:rPr>
                              <w:t xml:space="preserve"> time-delay in order to ensure a fair distribution of cost across users?</w:t>
                            </w:r>
                            <w:r>
                              <w:rPr>
                                <w:rStyle w:val="normaltextrun"/>
                                <w:rFonts w:ascii="Calibri" w:hAnsi="Calibri" w:cs="Calibri"/>
                                <w:b/>
                                <w:bCs/>
                                <w:color w:val="000000"/>
                              </w:rPr>
                              <w:t xml:space="preserve"> </w:t>
                            </w:r>
                          </w:p>
                          <w:p w14:paraId="4EF93C54" w14:textId="77777777" w:rsidR="00185AC3" w:rsidRPr="00F51E0E" w:rsidRDefault="00185AC3" w:rsidP="00185AC3">
                            <w:pPr>
                              <w:rPr>
                                <w:lang w:eastAsia="ja-JP"/>
                              </w:rPr>
                            </w:pPr>
                          </w:p>
                          <w:p w14:paraId="4A8C3F0D" w14:textId="77777777" w:rsidR="00185AC3" w:rsidRDefault="00185AC3" w:rsidP="00185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9E0D1" id="_x0000_s1029" type="#_x0000_t202" style="position:absolute;left:0;text-align:left;margin-left:2.3pt;margin-top:26.35pt;width:450.15pt;height:195.0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" strokecolor="#04aeb9">
                <v:textbox>
                  <w:txbxContent>
                    <w:p w14:paraId="432953D4" w14:textId="77777777" w:rsidR="00185AC3" w:rsidRDefault="00185AC3" w:rsidP="00185AC3">
                      <w:pPr>
                        <w:rPr>
                          <w:rStyle w:val="normaltextrun"/>
                          <w:rFonts w:ascii="Calibri" w:hAnsi="Calibri" w:cs="Calibri"/>
                          <w:b/>
                          <w:bCs/>
                          <w:color w:val="000000"/>
                        </w:rPr>
                      </w:pPr>
                      <w:r>
                        <w:rPr>
                          <w:rStyle w:val="normaltextrun"/>
                          <w:rFonts w:ascii="Calibri" w:hAnsi="Calibri" w:cs="Calibri"/>
                          <w:b/>
                          <w:bCs/>
                          <w:color w:val="000000"/>
                        </w:rPr>
                        <w:t xml:space="preserve">Summary: </w:t>
                      </w:r>
                    </w:p>
                    <w:p w14:paraId="2381C30C" w14:textId="77777777" w:rsidR="00185AC3" w:rsidRDefault="00185AC3" w:rsidP="00185AC3">
                      <w:pPr>
                        <w:rPr>
                          <w:rStyle w:val="normaltextrun"/>
                          <w:rFonts w:ascii="Calibri" w:hAnsi="Calibri" w:cs="Calibri"/>
                          <w:color w:val="000000"/>
                        </w:rPr>
                      </w:pPr>
                      <w:r>
                        <w:rPr>
                          <w:rStyle w:val="normaltextrun"/>
                          <w:rFonts w:ascii="Calibri" w:hAnsi="Calibri" w:cs="Calibri"/>
                          <w:color w:val="000000"/>
                        </w:rPr>
                        <w:t>Given the lower anticipated UPI volumes (compared to the existing OTC ISIN</w:t>
                      </w:r>
                      <w:r w:rsidRPr="009E3344">
                        <w:rPr>
                          <w:rStyle w:val="normaltextrun"/>
                          <w:rFonts w:ascii="Calibri" w:hAnsi="Calibri" w:cs="Calibri"/>
                          <w:color w:val="000000"/>
                        </w:rPr>
                        <w:t xml:space="preserve"> </w:t>
                      </w:r>
                      <w:r>
                        <w:rPr>
                          <w:rStyle w:val="normaltextrun"/>
                          <w:rFonts w:ascii="Calibri" w:hAnsi="Calibri" w:cs="Calibri"/>
                          <w:color w:val="000000"/>
                        </w:rPr>
                        <w:t>service), the DSB foresees a risk that a larger proportion of the UPI user base (compared to the OTC ISIN service) may rely exclusively on the DSB’s free service, which includes the daily generated machine-readable download files. In this circumstance, the cost for each fee-paying user would be higher than otherwise.</w:t>
                      </w:r>
                    </w:p>
                    <w:p w14:paraId="4424690B" w14:textId="77777777" w:rsidR="00185AC3" w:rsidRPr="006F6406" w:rsidRDefault="00185AC3" w:rsidP="00185AC3">
                      <w:pPr>
                        <w:rPr>
                          <w:rStyle w:val="normaltextrun"/>
                          <w:rFonts w:ascii="Calibri" w:hAnsi="Calibri" w:cs="Calibri"/>
                          <w:color w:val="000000"/>
                        </w:rPr>
                      </w:pPr>
                      <w:r>
                        <w:rPr>
                          <w:rStyle w:val="normaltextrun"/>
                          <w:rFonts w:ascii="Calibri" w:hAnsi="Calibri" w:cs="Calibri"/>
                          <w:color w:val="000000"/>
                        </w:rPr>
                        <w:t xml:space="preserve">In order to mitigate this risk, the DSB proposes to provide access to the daily data files with a </w:t>
                      </w:r>
                      <w:proofErr w:type="gramStart"/>
                      <w:r>
                        <w:rPr>
                          <w:rStyle w:val="normaltextrun"/>
                          <w:rFonts w:ascii="Calibri" w:hAnsi="Calibri" w:cs="Calibri"/>
                          <w:color w:val="000000"/>
                        </w:rPr>
                        <w:t>two day</w:t>
                      </w:r>
                      <w:proofErr w:type="gramEnd"/>
                      <w:r>
                        <w:rPr>
                          <w:rStyle w:val="normaltextrun"/>
                          <w:rFonts w:ascii="Calibri" w:hAnsi="Calibri" w:cs="Calibri"/>
                          <w:color w:val="000000"/>
                        </w:rPr>
                        <w:t xml:space="preserve"> time-delay. </w:t>
                      </w:r>
                    </w:p>
                    <w:p w14:paraId="43DEA1FD" w14:textId="77777777" w:rsidR="00185AC3" w:rsidRDefault="00185AC3" w:rsidP="00185AC3">
                      <w:pPr>
                        <w:rPr>
                          <w:rStyle w:val="normaltextrun"/>
                          <w:rFonts w:ascii="Calibri" w:hAnsi="Calibri" w:cs="Calibri"/>
                          <w:b/>
                          <w:bCs/>
                          <w:color w:val="000000"/>
                        </w:rPr>
                      </w:pPr>
                      <w:r>
                        <w:rPr>
                          <w:rStyle w:val="normaltextrun"/>
                          <w:rFonts w:ascii="Calibri" w:hAnsi="Calibri" w:cs="Calibri"/>
                          <w:b/>
                          <w:bCs/>
                          <w:color w:val="000000"/>
                        </w:rPr>
                        <w:t xml:space="preserve">Question 4: </w:t>
                      </w:r>
                      <w:r w:rsidRPr="00E63BBE">
                        <w:rPr>
                          <w:rStyle w:val="normaltextrun"/>
                          <w:rFonts w:ascii="Calibri" w:hAnsi="Calibri" w:cs="Calibri"/>
                          <w:b/>
                          <w:i/>
                          <w:color w:val="000000"/>
                        </w:rPr>
                        <w:t xml:space="preserve">Do you agree that the DSB should provide access to the UPI end of day data files with a </w:t>
                      </w:r>
                      <w:proofErr w:type="gramStart"/>
                      <w:r w:rsidRPr="00E63BBE">
                        <w:rPr>
                          <w:rStyle w:val="normaltextrun"/>
                          <w:rFonts w:ascii="Calibri" w:hAnsi="Calibri" w:cs="Calibri"/>
                          <w:b/>
                          <w:i/>
                          <w:color w:val="000000"/>
                        </w:rPr>
                        <w:t>two day</w:t>
                      </w:r>
                      <w:proofErr w:type="gramEnd"/>
                      <w:r w:rsidRPr="00E63BBE">
                        <w:rPr>
                          <w:rStyle w:val="normaltextrun"/>
                          <w:rFonts w:ascii="Calibri" w:hAnsi="Calibri" w:cs="Calibri"/>
                          <w:b/>
                          <w:i/>
                          <w:color w:val="000000"/>
                        </w:rPr>
                        <w:t xml:space="preserve"> time-delay in order to ensure a fair distribution of cost across users?</w:t>
                      </w:r>
                      <w:r>
                        <w:rPr>
                          <w:rStyle w:val="normaltextrun"/>
                          <w:rFonts w:ascii="Calibri" w:hAnsi="Calibri" w:cs="Calibri"/>
                          <w:b/>
                          <w:bCs/>
                          <w:color w:val="000000"/>
                        </w:rPr>
                        <w:t xml:space="preserve"> </w:t>
                      </w:r>
                    </w:p>
                    <w:p w14:paraId="4EF93C54" w14:textId="77777777" w:rsidR="00185AC3" w:rsidRPr="00F51E0E" w:rsidRDefault="00185AC3" w:rsidP="00185AC3">
                      <w:pPr>
                        <w:rPr>
                          <w:lang w:eastAsia="ja-JP"/>
                        </w:rPr>
                      </w:pPr>
                    </w:p>
                    <w:p w14:paraId="4A8C3F0D" w14:textId="77777777" w:rsidR="00185AC3" w:rsidRDefault="00185AC3" w:rsidP="00185AC3"/>
                  </w:txbxContent>
                </v:textbox>
                <w10:wrap type="square" anchorx="margin"/>
              </v:shape>
            </w:pict>
          </mc:Fallback>
        </mc:AlternateContent>
      </w:r>
      <w:r>
        <w:t>Q4 – Registered User File Download Timing</w:t>
      </w:r>
      <w:bookmarkEnd w:id="571"/>
      <w:bookmarkEnd w:id="572"/>
      <w:bookmarkEnd w:id="575"/>
      <w:r>
        <w:t xml:space="preserve"> </w:t>
      </w:r>
      <w:bookmarkEnd w:id="573"/>
      <w:bookmarkEnd w:id="574"/>
    </w:p>
    <w:p w14:paraId="40488624" w14:textId="77777777" w:rsidR="00185AC3" w:rsidRPr="008E271F" w:rsidRDefault="00185AC3" w:rsidP="00C1588F">
      <w:pPr>
        <w:spacing w:line="276" w:lineRule="auto"/>
        <w:rPr>
          <w:rStyle w:val="normaltextrun"/>
          <w:rFonts w:ascii="Calibri" w:hAnsi="Calibri" w:cs="Calibri"/>
          <w:color w:val="000000"/>
        </w:rPr>
      </w:pPr>
      <w:bookmarkStart w:id="576" w:name="_Toc38842413"/>
      <w:r w:rsidRPr="008E271F">
        <w:rPr>
          <w:u w:val="single"/>
        </w:rPr>
        <w:t>Supporting Information:</w:t>
      </w:r>
    </w:p>
    <w:p w14:paraId="394EE341" w14:textId="77777777"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rPr>
        <w:t xml:space="preserve">The DSB is proposing to leverage the processes and functionality of its existing systems and services for the UPI wherever appropriate. The existing service includes the generation of end of day machine-readable download files that incorporate the details of the data that was created or modified that day. These data files are currently available for free to all registered users of the service at the end of the day. </w:t>
      </w:r>
      <w:proofErr w:type="gramStart"/>
      <w:r w:rsidRPr="008E271F">
        <w:rPr>
          <w:rStyle w:val="normaltextrun"/>
          <w:rFonts w:ascii="Calibri" w:hAnsi="Calibri" w:cs="Calibri"/>
          <w:color w:val="000000"/>
        </w:rPr>
        <w:t>Therefore</w:t>
      </w:r>
      <w:proofErr w:type="gramEnd"/>
      <w:r w:rsidRPr="008E271F">
        <w:rPr>
          <w:rStyle w:val="normaltextrun"/>
          <w:rFonts w:ascii="Calibri" w:hAnsi="Calibri" w:cs="Calibri"/>
          <w:color w:val="000000"/>
        </w:rPr>
        <w:t xml:space="preserve"> by default, the UPI service will also include the generation of end of day machine-readable download files that incorporate the details of all UPI records created or modified that day.</w:t>
      </w:r>
    </w:p>
    <w:p w14:paraId="2270F5BA" w14:textId="2806BAB6"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rPr>
        <w:lastRenderedPageBreak/>
        <w:t xml:space="preserve">Section </w:t>
      </w:r>
      <w:r w:rsidRPr="008E271F">
        <w:rPr>
          <w:rStyle w:val="normaltextrun"/>
          <w:rFonts w:ascii="Calibri" w:hAnsi="Calibri" w:cs="Calibri"/>
          <w:color w:val="000000"/>
        </w:rPr>
        <w:fldChar w:fldCharType="begin"/>
      </w:r>
      <w:r w:rsidRPr="008E271F">
        <w:rPr>
          <w:rStyle w:val="normaltextrun"/>
          <w:rFonts w:ascii="Calibri" w:hAnsi="Calibri" w:cs="Calibri"/>
          <w:color w:val="000000"/>
        </w:rPr>
        <w:instrText xml:space="preserve"> REF _Ref57192934 \r \h  \* MERGEFORMAT </w:instrText>
      </w:r>
      <w:r w:rsidRPr="008E271F">
        <w:rPr>
          <w:rStyle w:val="normaltextrun"/>
          <w:rFonts w:ascii="Calibri" w:hAnsi="Calibri" w:cs="Calibri"/>
          <w:color w:val="000000"/>
        </w:rPr>
      </w:r>
      <w:r w:rsidRPr="008E271F">
        <w:rPr>
          <w:rStyle w:val="normaltextrun"/>
          <w:rFonts w:ascii="Calibri" w:hAnsi="Calibri" w:cs="Calibri"/>
          <w:color w:val="000000"/>
        </w:rPr>
        <w:fldChar w:fldCharType="separate"/>
      </w:r>
      <w:r w:rsidR="004B25FD">
        <w:rPr>
          <w:rStyle w:val="normaltextrun"/>
          <w:rFonts w:ascii="Calibri" w:hAnsi="Calibri" w:cs="Calibri"/>
          <w:color w:val="000000"/>
        </w:rPr>
        <w:t>4.4</w:t>
      </w:r>
      <w:r w:rsidRPr="008E271F">
        <w:rPr>
          <w:rStyle w:val="normaltextrun"/>
          <w:rFonts w:ascii="Calibri" w:hAnsi="Calibri" w:cs="Calibri"/>
          <w:color w:val="000000"/>
        </w:rPr>
        <w:fldChar w:fldCharType="end"/>
      </w:r>
      <w:r w:rsidRPr="008E271F">
        <w:rPr>
          <w:rStyle w:val="normaltextrun"/>
          <w:rFonts w:ascii="Calibri" w:hAnsi="Calibri" w:cs="Calibri"/>
          <w:color w:val="000000"/>
        </w:rPr>
        <w:t xml:space="preserve"> </w:t>
      </w:r>
      <w:r w:rsidRPr="008E271F">
        <w:rPr>
          <w:rStyle w:val="normaltextrun"/>
          <w:rFonts w:ascii="Calibri" w:hAnsi="Calibri" w:cs="Calibri"/>
          <w:i/>
          <w:iCs/>
          <w:color w:val="000000"/>
        </w:rPr>
        <w:fldChar w:fldCharType="begin"/>
      </w:r>
      <w:r w:rsidRPr="008E271F">
        <w:rPr>
          <w:rStyle w:val="normaltextrun"/>
          <w:rFonts w:ascii="Calibri" w:hAnsi="Calibri" w:cs="Calibri"/>
          <w:i/>
          <w:iCs/>
          <w:color w:val="000000"/>
        </w:rPr>
        <w:instrText xml:space="preserve"> REF _Ref57192943 \h  \* MERGEFORMAT </w:instrText>
      </w:r>
      <w:r w:rsidRPr="008E271F">
        <w:rPr>
          <w:rStyle w:val="normaltextrun"/>
          <w:rFonts w:ascii="Calibri" w:hAnsi="Calibri" w:cs="Calibri"/>
          <w:i/>
          <w:iCs/>
          <w:color w:val="000000"/>
        </w:rPr>
      </w:r>
      <w:r w:rsidRPr="008E271F">
        <w:rPr>
          <w:rStyle w:val="normaltextrun"/>
          <w:rFonts w:ascii="Calibri" w:hAnsi="Calibri" w:cs="Calibri"/>
          <w:i/>
          <w:iCs/>
          <w:color w:val="000000"/>
        </w:rPr>
        <w:fldChar w:fldCharType="separate"/>
      </w:r>
      <w:r w:rsidRPr="008E271F">
        <w:rPr>
          <w:i/>
          <w:iCs/>
        </w:rPr>
        <w:t>UPI Creation Estimates</w:t>
      </w:r>
      <w:r w:rsidRPr="008E271F">
        <w:rPr>
          <w:rStyle w:val="normaltextrun"/>
          <w:rFonts w:ascii="Calibri" w:hAnsi="Calibri" w:cs="Calibri"/>
          <w:i/>
          <w:iCs/>
          <w:color w:val="000000"/>
        </w:rPr>
        <w:fldChar w:fldCharType="end"/>
      </w:r>
      <w:r w:rsidRPr="008E271F">
        <w:rPr>
          <w:rStyle w:val="normaltextrun"/>
          <w:rFonts w:ascii="Calibri" w:hAnsi="Calibri" w:cs="Calibri"/>
          <w:color w:val="000000"/>
        </w:rPr>
        <w:t xml:space="preserve"> shows the DSB’s estimates on the volume of UPIs. These figures imply that the daily volume of new UPIs will be substantially less than the daily volume of OTC ISINs. </w:t>
      </w:r>
    </w:p>
    <w:p w14:paraId="628FB47D" w14:textId="77777777" w:rsidR="00185AC3" w:rsidRPr="008E271F" w:rsidRDefault="00185AC3" w:rsidP="00C1588F">
      <w:pPr>
        <w:spacing w:line="276" w:lineRule="auto"/>
        <w:rPr>
          <w:rStyle w:val="normaltextrun"/>
          <w:rFonts w:ascii="Calibri" w:hAnsi="Calibri" w:cs="Calibri"/>
          <w:color w:val="000000"/>
        </w:rPr>
      </w:pPr>
      <w:r w:rsidRPr="008E271F" w:rsidDel="00AE4D46">
        <w:rPr>
          <w:rStyle w:val="normaltextrun"/>
          <w:rFonts w:ascii="Calibri" w:hAnsi="Calibri" w:cs="Calibri"/>
          <w:color w:val="000000"/>
        </w:rPr>
        <w:t xml:space="preserve">This </w:t>
      </w:r>
      <w:r w:rsidRPr="008E271F">
        <w:rPr>
          <w:rStyle w:val="normaltextrun"/>
          <w:rFonts w:ascii="Calibri" w:hAnsi="Calibri" w:cs="Calibri"/>
          <w:color w:val="000000"/>
        </w:rPr>
        <w:t xml:space="preserve">lower UPI volume (compared to the DSB’s existing service) creates a risk that a higher proportion of market participants (compared to the DSB’s existing service) may feel they can perform their business functions based solely on the DSB’s free UPI service by relying on the daily generated machine-readable download files. </w:t>
      </w:r>
    </w:p>
    <w:p w14:paraId="3E0C0A09" w14:textId="77777777"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rPr>
        <w:t>Should this risk materialise, the impact will be that a smaller proportion of the user base will need API access to UPI data that has been created intra-day. In this circumstance, the cost of the UPI service will be borne by this smaller proportion of market participants, which would mean that the cost of the service for each fee-paying user would be higher than otherwise.</w:t>
      </w:r>
    </w:p>
    <w:p w14:paraId="6EE9C0F3" w14:textId="0D90B35C"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rPr>
        <w:t>As a reminder, currently 70% of existing users only access the free OTC ISIN service, with the remaining 30% of users contributing the entire cost of operating the OTC ISIN service.</w:t>
      </w:r>
      <w:r w:rsidR="005D4D52">
        <w:rPr>
          <w:rStyle w:val="normaltextrun"/>
          <w:rFonts w:ascii="Calibri" w:hAnsi="Calibri" w:cs="Calibri"/>
          <w:color w:val="000000"/>
        </w:rPr>
        <w:t xml:space="preserve"> </w:t>
      </w:r>
      <w:r w:rsidR="00F52210">
        <w:t>It is important to note</w:t>
      </w:r>
      <w:r w:rsidR="005D4D52">
        <w:t xml:space="preserve">, as set out in section </w:t>
      </w:r>
      <w:r w:rsidR="005D4D52">
        <w:fldChar w:fldCharType="begin"/>
      </w:r>
      <w:r w:rsidR="005D4D52">
        <w:instrText xml:space="preserve"> REF _Ref60648775 \r \h </w:instrText>
      </w:r>
      <w:r w:rsidR="005D4D52">
        <w:fldChar w:fldCharType="separate"/>
      </w:r>
      <w:r w:rsidR="005D4D52">
        <w:t>4.1</w:t>
      </w:r>
      <w:r w:rsidR="005D4D52">
        <w:fldChar w:fldCharType="end"/>
      </w:r>
      <w:r w:rsidR="005D4D52">
        <w:t xml:space="preserve"> above, irrespective of </w:t>
      </w:r>
      <w:r w:rsidR="005D4D52">
        <w:rPr>
          <w:rStyle w:val="normaltextrun"/>
          <w:rFonts w:cstheme="minorHAnsi"/>
          <w:bCs/>
          <w:color w:val="000000"/>
        </w:rPr>
        <w:t xml:space="preserve">user type all DSB users </w:t>
      </w:r>
      <w:proofErr w:type="gramStart"/>
      <w:r w:rsidR="005D4D52">
        <w:rPr>
          <w:rStyle w:val="normaltextrun"/>
          <w:rFonts w:cstheme="minorHAnsi"/>
          <w:bCs/>
          <w:color w:val="000000"/>
        </w:rPr>
        <w:t>are able to</w:t>
      </w:r>
      <w:proofErr w:type="gramEnd"/>
      <w:r w:rsidR="005D4D52">
        <w:rPr>
          <w:rStyle w:val="normaltextrun"/>
          <w:rFonts w:cstheme="minorHAnsi"/>
          <w:bCs/>
          <w:color w:val="000000"/>
        </w:rPr>
        <w:t xml:space="preserve"> search for OTC derivative data in near real-time by logging on to the DSB’s web front end, conducting a manual search, and downloading the specific record of interest in machine readable format. Market participants are also able to obtain the OTC derivative identifier from their counterparty, or from their trade execution platform</w:t>
      </w:r>
      <w:r w:rsidR="00E074A0">
        <w:rPr>
          <w:rStyle w:val="normaltextrun"/>
          <w:rFonts w:cstheme="minorHAnsi"/>
          <w:bCs/>
          <w:color w:val="000000"/>
        </w:rPr>
        <w:t>,</w:t>
      </w:r>
      <w:r w:rsidR="005D4D52">
        <w:rPr>
          <w:rStyle w:val="normaltextrun"/>
          <w:rFonts w:cstheme="minorHAnsi"/>
          <w:bCs/>
          <w:color w:val="000000"/>
        </w:rPr>
        <w:t xml:space="preserve"> and use the identifier as part of their trading workflows.  </w:t>
      </w:r>
    </w:p>
    <w:p w14:paraId="189C27A3" w14:textId="00167CA9"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rPr>
        <w:t>The DSB’s analysis of UPI reporting requirements across the G20 shows that all jurisdictions expect reporting to occur within two working days of the occurrence of an in-scope transaction. Based on this analysis, the DSB anticipates that free access to the end of day files on a T+2 basis is most likely to result in a similar proportion of free vs paying users for the UPI service as for the existing DSB services.</w:t>
      </w:r>
      <w:r w:rsidR="00E25822">
        <w:rPr>
          <w:rStyle w:val="FootnoteReference"/>
          <w:rFonts w:ascii="Calibri" w:hAnsi="Calibri" w:cs="Calibri"/>
          <w:color w:val="000000"/>
        </w:rPr>
        <w:footnoteReference w:id="43"/>
      </w:r>
      <w:r w:rsidRPr="008E271F">
        <w:rPr>
          <w:rStyle w:val="normaltextrun"/>
          <w:rFonts w:ascii="Calibri" w:hAnsi="Calibri" w:cs="Calibri"/>
          <w:color w:val="000000"/>
        </w:rPr>
        <w:t xml:space="preserve"> </w:t>
      </w:r>
    </w:p>
    <w:p w14:paraId="39A94758" w14:textId="77777777"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rPr>
        <w:t xml:space="preserve">In consideration of the Cost governance criteria described in section </w:t>
      </w:r>
      <w:r w:rsidRPr="008E271F">
        <w:rPr>
          <w:rStyle w:val="normaltextrun"/>
          <w:rFonts w:ascii="Calibri" w:hAnsi="Calibri" w:cs="Calibri"/>
          <w:i/>
          <w:color w:val="000000"/>
        </w:rPr>
        <w:fldChar w:fldCharType="begin"/>
      </w:r>
      <w:r w:rsidRPr="008E271F">
        <w:rPr>
          <w:rStyle w:val="normaltextrun"/>
          <w:rFonts w:ascii="Calibri" w:hAnsi="Calibri" w:cs="Calibri"/>
          <w:i/>
          <w:color w:val="000000"/>
        </w:rPr>
        <w:instrText xml:space="preserve"> REF _Ref58234110 \r \h  \* MERGEFORMAT </w:instrText>
      </w:r>
      <w:r w:rsidRPr="008E271F">
        <w:rPr>
          <w:rStyle w:val="normaltextrun"/>
          <w:rFonts w:ascii="Calibri" w:hAnsi="Calibri" w:cs="Calibri"/>
          <w:i/>
          <w:color w:val="000000"/>
        </w:rPr>
      </w:r>
      <w:r w:rsidRPr="008E271F">
        <w:rPr>
          <w:rStyle w:val="normaltextrun"/>
          <w:rFonts w:ascii="Calibri" w:hAnsi="Calibri" w:cs="Calibri"/>
          <w:i/>
          <w:color w:val="000000"/>
        </w:rPr>
        <w:fldChar w:fldCharType="separate"/>
      </w:r>
      <w:r w:rsidRPr="008E271F">
        <w:rPr>
          <w:rStyle w:val="normaltextrun"/>
          <w:rFonts w:ascii="Calibri" w:hAnsi="Calibri" w:cs="Calibri"/>
          <w:i/>
          <w:color w:val="000000"/>
        </w:rPr>
        <w:t>3.2.2</w:t>
      </w:r>
      <w:r w:rsidRPr="008E271F">
        <w:rPr>
          <w:rStyle w:val="normaltextrun"/>
          <w:rFonts w:ascii="Calibri" w:hAnsi="Calibri" w:cs="Calibri"/>
          <w:i/>
          <w:color w:val="000000"/>
        </w:rPr>
        <w:fldChar w:fldCharType="end"/>
      </w:r>
      <w:r w:rsidRPr="008E271F">
        <w:rPr>
          <w:rStyle w:val="normaltextrun"/>
          <w:rFonts w:ascii="Calibri" w:hAnsi="Calibri" w:cs="Calibri"/>
          <w:i/>
          <w:iCs/>
          <w:color w:val="000000"/>
        </w:rPr>
        <w:t xml:space="preserve"> </w:t>
      </w:r>
      <w:r w:rsidRPr="008E271F">
        <w:rPr>
          <w:rStyle w:val="normaltextrun"/>
          <w:rFonts w:ascii="Calibri" w:hAnsi="Calibri" w:cs="Calibri"/>
          <w:i/>
          <w:color w:val="000000"/>
        </w:rPr>
        <w:fldChar w:fldCharType="begin"/>
      </w:r>
      <w:r w:rsidRPr="008E271F">
        <w:rPr>
          <w:rStyle w:val="normaltextrun"/>
          <w:rFonts w:ascii="Calibri" w:hAnsi="Calibri" w:cs="Calibri"/>
          <w:i/>
          <w:color w:val="000000"/>
        </w:rPr>
        <w:instrText xml:space="preserve"> REF _Ref58234123 \h  \* MERGEFORMAT </w:instrText>
      </w:r>
      <w:r w:rsidRPr="008E271F">
        <w:rPr>
          <w:rStyle w:val="normaltextrun"/>
          <w:rFonts w:ascii="Calibri" w:hAnsi="Calibri" w:cs="Calibri"/>
          <w:i/>
          <w:color w:val="000000"/>
        </w:rPr>
      </w:r>
      <w:r w:rsidRPr="008E271F">
        <w:rPr>
          <w:rStyle w:val="normaltextrun"/>
          <w:rFonts w:ascii="Calibri" w:hAnsi="Calibri" w:cs="Calibri"/>
          <w:i/>
          <w:color w:val="000000"/>
        </w:rPr>
        <w:fldChar w:fldCharType="separate"/>
      </w:r>
      <w:r w:rsidRPr="008E271F">
        <w:rPr>
          <w:i/>
          <w:iCs/>
        </w:rPr>
        <w:t>UPI Governance Criteria</w:t>
      </w:r>
      <w:r w:rsidRPr="008E271F">
        <w:rPr>
          <w:rStyle w:val="normaltextrun"/>
          <w:rFonts w:ascii="Calibri" w:hAnsi="Calibri" w:cs="Calibri"/>
          <w:i/>
          <w:color w:val="000000"/>
        </w:rPr>
        <w:fldChar w:fldCharType="end"/>
      </w:r>
      <w:r w:rsidRPr="008E271F">
        <w:rPr>
          <w:rStyle w:val="normaltextrun"/>
          <w:rFonts w:ascii="Calibri" w:hAnsi="Calibri" w:cs="Calibri"/>
          <w:color w:val="000000"/>
        </w:rPr>
        <w:t xml:space="preserve">, as a means to allocate costs among stakeholders fairly, the DSB anticipates the impact of such a time delay will offset the increased likelihood of proportionally more users subscribing to the free service. </w:t>
      </w:r>
    </w:p>
    <w:p w14:paraId="2E22DE7A" w14:textId="77777777"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rPr>
        <w:t xml:space="preserve">The DSB is aware that many fee-paying API users also access the DSB’s existing daily download service, </w:t>
      </w:r>
      <w:proofErr w:type="gramStart"/>
      <w:r w:rsidRPr="008E271F">
        <w:rPr>
          <w:rStyle w:val="normaltextrun"/>
          <w:rFonts w:ascii="Calibri" w:hAnsi="Calibri" w:cs="Calibri"/>
          <w:color w:val="000000"/>
        </w:rPr>
        <w:t>in order to</w:t>
      </w:r>
      <w:proofErr w:type="gramEnd"/>
      <w:r w:rsidRPr="008E271F">
        <w:rPr>
          <w:rStyle w:val="normaltextrun"/>
          <w:rFonts w:ascii="Calibri" w:hAnsi="Calibri" w:cs="Calibri"/>
          <w:color w:val="000000"/>
        </w:rPr>
        <w:t xml:space="preserve"> reconcile the DSB’s data with their internal caches as well as for other purposes. The DSB assumes there will be similar demand for the daily download service by fee paying users of the UPI service and therefore any proposal should address this demand.</w:t>
      </w:r>
    </w:p>
    <w:p w14:paraId="0ABDAA31" w14:textId="77777777" w:rsidR="00185AC3" w:rsidRPr="008E271F" w:rsidRDefault="00185AC3" w:rsidP="00C1588F">
      <w:pPr>
        <w:spacing w:line="276" w:lineRule="auto"/>
        <w:jc w:val="both"/>
        <w:rPr>
          <w:b/>
          <w:u w:val="single"/>
        </w:rPr>
      </w:pPr>
      <w:r w:rsidRPr="008E271F">
        <w:rPr>
          <w:b/>
          <w:u w:val="single"/>
        </w:rPr>
        <w:t>DSB Proposal:</w:t>
      </w:r>
    </w:p>
    <w:p w14:paraId="2936D24C" w14:textId="77777777"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rPr>
        <w:t xml:space="preserve">The DSB proposes to provide free access to the daily download files with a time delay of two days (excluding weekends). </w:t>
      </w:r>
      <w:proofErr w:type="gramStart"/>
      <w:r w:rsidRPr="008E271F">
        <w:rPr>
          <w:rStyle w:val="normaltextrun"/>
          <w:rFonts w:ascii="Calibri" w:hAnsi="Calibri" w:cs="Calibri"/>
          <w:color w:val="000000"/>
        </w:rPr>
        <w:t>So</w:t>
      </w:r>
      <w:proofErr w:type="gramEnd"/>
      <w:r w:rsidRPr="008E271F">
        <w:rPr>
          <w:rStyle w:val="normaltextrun"/>
          <w:rFonts w:ascii="Calibri" w:hAnsi="Calibri" w:cs="Calibri"/>
          <w:color w:val="000000"/>
        </w:rPr>
        <w:t xml:space="preserve"> for example, the end of day file for UPI records on Tuesday 20 September 2022 will be generated as usual at the end of day 20 September, but will only be made accessible for free to registered users from end of day Thursday 22 September 2022.</w:t>
      </w:r>
    </w:p>
    <w:p w14:paraId="372E85CD" w14:textId="77777777" w:rsidR="00185AC3" w:rsidRPr="008E271F" w:rsidRDefault="00185AC3" w:rsidP="00C1588F">
      <w:pPr>
        <w:spacing w:line="276" w:lineRule="auto"/>
        <w:rPr>
          <w:rStyle w:val="normaltextrun"/>
          <w:rFonts w:ascii="Calibri" w:hAnsi="Calibri" w:cs="Calibri"/>
          <w:color w:val="000000"/>
        </w:rPr>
      </w:pPr>
      <w:proofErr w:type="gramStart"/>
      <w:r w:rsidRPr="008E271F">
        <w:rPr>
          <w:rStyle w:val="normaltextrun"/>
          <w:rFonts w:ascii="Calibri" w:hAnsi="Calibri" w:cs="Calibri"/>
          <w:color w:val="000000"/>
        </w:rPr>
        <w:lastRenderedPageBreak/>
        <w:t>In order to</w:t>
      </w:r>
      <w:proofErr w:type="gramEnd"/>
      <w:r w:rsidRPr="008E271F">
        <w:rPr>
          <w:rStyle w:val="normaltextrun"/>
          <w:rFonts w:ascii="Calibri" w:hAnsi="Calibri" w:cs="Calibri"/>
          <w:color w:val="000000"/>
        </w:rPr>
        <w:t xml:space="preserve"> cater for the needs of fee-paying users, the DSB proposes to preserve end of day access to the daily download files to fee-paying users.</w:t>
      </w:r>
    </w:p>
    <w:p w14:paraId="0ECFDB4C" w14:textId="77777777" w:rsidR="00185AC3" w:rsidRPr="008E271F" w:rsidRDefault="00185AC3" w:rsidP="0048715D">
      <w:pPr>
        <w:pStyle w:val="paragraph"/>
        <w:spacing w:before="0" w:beforeAutospacing="0" w:after="120" w:afterAutospacing="0" w:line="276" w:lineRule="auto"/>
        <w:textAlignment w:val="baseline"/>
        <w:rPr>
          <w:rStyle w:val="normaltextrun"/>
          <w:rFonts w:asciiTheme="minorHAnsi" w:hAnsiTheme="minorHAnsi" w:cstheme="minorHAnsi"/>
          <w:bCs/>
          <w:color w:val="000000"/>
          <w:sz w:val="22"/>
          <w:szCs w:val="22"/>
          <w:u w:val="single"/>
        </w:rPr>
      </w:pPr>
      <w:r w:rsidRPr="008E271F">
        <w:rPr>
          <w:rStyle w:val="normaltextrun"/>
          <w:rFonts w:asciiTheme="minorHAnsi" w:hAnsiTheme="minorHAnsi" w:cstheme="minorHAnsi"/>
          <w:bCs/>
          <w:color w:val="000000"/>
          <w:sz w:val="22"/>
          <w:szCs w:val="22"/>
          <w:u w:val="single"/>
        </w:rPr>
        <w:t>Alternative Option</w:t>
      </w:r>
    </w:p>
    <w:p w14:paraId="571CB392" w14:textId="77777777" w:rsidR="00185AC3" w:rsidRPr="008E271F" w:rsidRDefault="00185AC3" w:rsidP="0087769A">
      <w:pPr>
        <w:pStyle w:val="NormalWeb"/>
        <w:shd w:val="clear" w:color="auto" w:fill="FFFFFF"/>
        <w:spacing w:before="0" w:beforeAutospacing="0" w:after="120" w:afterAutospacing="0" w:line="276" w:lineRule="auto"/>
        <w:textAlignment w:val="baseline"/>
        <w:rPr>
          <w:rFonts w:asciiTheme="minorHAnsi" w:hAnsiTheme="minorHAnsi" w:cstheme="minorHAnsi"/>
          <w:bCs/>
          <w:sz w:val="22"/>
          <w:szCs w:val="22"/>
        </w:rPr>
      </w:pPr>
      <w:r w:rsidRPr="008E271F">
        <w:rPr>
          <w:rFonts w:asciiTheme="minorHAnsi" w:hAnsiTheme="minorHAnsi" w:cstheme="minorHAnsi"/>
          <w:bCs/>
          <w:sz w:val="22"/>
          <w:szCs w:val="22"/>
        </w:rPr>
        <w:t xml:space="preserve">The DSB also considered not making any modifications to the existing daily download model. </w:t>
      </w:r>
    </w:p>
    <w:p w14:paraId="0321D464" w14:textId="77777777" w:rsidR="00185AC3" w:rsidRPr="008E271F" w:rsidRDefault="00185AC3" w:rsidP="0087769A">
      <w:pPr>
        <w:pStyle w:val="NormalWeb"/>
        <w:shd w:val="clear" w:color="auto" w:fill="FFFFFF"/>
        <w:spacing w:before="0" w:beforeAutospacing="0" w:after="120" w:afterAutospacing="0" w:line="276" w:lineRule="auto"/>
        <w:textAlignment w:val="baseline"/>
        <w:rPr>
          <w:rFonts w:asciiTheme="minorHAnsi" w:hAnsiTheme="minorHAnsi" w:cstheme="minorHAnsi"/>
          <w:bCs/>
          <w:sz w:val="22"/>
          <w:szCs w:val="22"/>
        </w:rPr>
      </w:pPr>
      <w:r w:rsidRPr="008E271F">
        <w:rPr>
          <w:rFonts w:asciiTheme="minorHAnsi" w:hAnsiTheme="minorHAnsi" w:cstheme="minorHAnsi"/>
          <w:bCs/>
          <w:sz w:val="22"/>
          <w:szCs w:val="22"/>
        </w:rPr>
        <w:t xml:space="preserve">In this option, the DSB would not actively mitigate the identified risk before go-live. Instead, the DSB would monitor the situation in the first year of go-live and if the proportion of fee-paying UPI users were to be lower than </w:t>
      </w:r>
      <w:r w:rsidRPr="008E271F">
        <w:rPr>
          <w:rFonts w:asciiTheme="minorHAnsi" w:hAnsiTheme="minorHAnsi" w:cstheme="minorHAnsi"/>
          <w:sz w:val="22"/>
          <w:szCs w:val="22"/>
        </w:rPr>
        <w:t>the 30%</w:t>
      </w:r>
      <w:r w:rsidRPr="008E271F">
        <w:rPr>
          <w:rFonts w:asciiTheme="minorHAnsi" w:hAnsiTheme="minorHAnsi" w:cstheme="minorHAnsi"/>
          <w:bCs/>
          <w:sz w:val="22"/>
          <w:szCs w:val="22"/>
        </w:rPr>
        <w:t xml:space="preserve"> of all users achieved by the DSB’s existing service, the DSB would consult with stakeholders in that year to implement changes in the subsequent year. </w:t>
      </w:r>
    </w:p>
    <w:p w14:paraId="43DDA677" w14:textId="77777777" w:rsidR="00185AC3" w:rsidRPr="008E271F" w:rsidRDefault="00185AC3" w:rsidP="00641886">
      <w:pPr>
        <w:pStyle w:val="NormalWeb"/>
        <w:shd w:val="clear" w:color="auto" w:fill="FFFFFF" w:themeFill="background1"/>
        <w:spacing w:before="0" w:beforeAutospacing="0" w:after="120" w:afterAutospacing="0" w:line="276" w:lineRule="auto"/>
        <w:textAlignment w:val="baseline"/>
        <w:rPr>
          <w:rFonts w:asciiTheme="minorHAnsi" w:hAnsiTheme="minorHAnsi" w:cstheme="minorBidi"/>
          <w:sz w:val="22"/>
          <w:szCs w:val="22"/>
        </w:rPr>
      </w:pPr>
      <w:r w:rsidRPr="008E271F">
        <w:rPr>
          <w:rFonts w:asciiTheme="minorHAnsi" w:hAnsiTheme="minorHAnsi" w:cstheme="minorBidi"/>
          <w:sz w:val="22"/>
          <w:szCs w:val="22"/>
        </w:rPr>
        <w:t>This approach would simply extend the existing</w:t>
      </w:r>
      <w:r w:rsidRPr="008E271F" w:rsidDel="00BC5A0F">
        <w:rPr>
          <w:rFonts w:asciiTheme="minorHAnsi" w:hAnsiTheme="minorHAnsi" w:cstheme="minorBidi"/>
          <w:sz w:val="22"/>
          <w:szCs w:val="22"/>
        </w:rPr>
        <w:t xml:space="preserve"> </w:t>
      </w:r>
      <w:r w:rsidRPr="008E271F">
        <w:rPr>
          <w:rFonts w:asciiTheme="minorHAnsi" w:hAnsiTheme="minorHAnsi" w:cstheme="minorBidi"/>
          <w:sz w:val="22"/>
          <w:szCs w:val="22"/>
        </w:rPr>
        <w:t xml:space="preserve">DSB service model to the UPI service and therefore likely have the lowest overall implementation effort and cost for both the DSB and industry. </w:t>
      </w:r>
    </w:p>
    <w:p w14:paraId="29480E88" w14:textId="77777777" w:rsidR="00185AC3" w:rsidRPr="008E271F" w:rsidRDefault="00185AC3" w:rsidP="00641886">
      <w:pPr>
        <w:pStyle w:val="NormalWeb"/>
        <w:shd w:val="clear" w:color="auto" w:fill="FFFFFF" w:themeFill="background1"/>
        <w:spacing w:before="0" w:beforeAutospacing="0" w:after="0" w:afterAutospacing="0" w:line="276" w:lineRule="auto"/>
        <w:textAlignment w:val="baseline"/>
        <w:rPr>
          <w:rFonts w:asciiTheme="minorHAnsi" w:hAnsiTheme="minorHAnsi" w:cstheme="minorBidi"/>
          <w:sz w:val="22"/>
          <w:szCs w:val="22"/>
        </w:rPr>
      </w:pPr>
      <w:r w:rsidRPr="008E271F">
        <w:rPr>
          <w:rFonts w:asciiTheme="minorHAnsi" w:hAnsiTheme="minorHAnsi" w:cstheme="minorBidi"/>
          <w:sz w:val="22"/>
          <w:szCs w:val="22"/>
        </w:rPr>
        <w:t>This option increases the likelihood that in the first year of go-live, a smaller number of fee-paying users would contribute to the cost recovery of the UPI service. The DSB is mindful of its duty to treat all market participants equitably, which may not be seen to be the case, if the DSB did not take active steps to mitigate a known risk. This is the reason the DSB has not proposed this option. However, the DSB</w:t>
      </w:r>
      <w:r w:rsidRPr="008E271F" w:rsidDel="00813A8C">
        <w:rPr>
          <w:rFonts w:asciiTheme="minorHAnsi" w:hAnsiTheme="minorHAnsi" w:cstheme="minorBidi"/>
          <w:sz w:val="22"/>
          <w:szCs w:val="22"/>
        </w:rPr>
        <w:t xml:space="preserve"> </w:t>
      </w:r>
      <w:r w:rsidRPr="008E271F">
        <w:rPr>
          <w:rFonts w:asciiTheme="minorHAnsi" w:hAnsiTheme="minorHAnsi" w:cstheme="minorBidi"/>
          <w:sz w:val="22"/>
          <w:szCs w:val="22"/>
        </w:rPr>
        <w:t>will reconsider this option should industry feedback suggest this is the best course of action.</w:t>
      </w:r>
    </w:p>
    <w:p w14:paraId="4C624615" w14:textId="77777777" w:rsidR="00185AC3" w:rsidRDefault="00185AC3" w:rsidP="00641886">
      <w:pPr>
        <w:pStyle w:val="NormalWeb"/>
        <w:shd w:val="clear" w:color="auto" w:fill="FFFFFF" w:themeFill="background1"/>
        <w:spacing w:before="0" w:beforeAutospacing="0" w:after="0" w:afterAutospacing="0" w:line="276" w:lineRule="auto"/>
        <w:textAlignment w:val="baseline"/>
        <w:rPr>
          <w:rFonts w:asciiTheme="minorHAnsi" w:hAnsiTheme="minorHAnsi" w:cstheme="minorBidi"/>
          <w:sz w:val="22"/>
          <w:szCs w:val="22"/>
        </w:rPr>
      </w:pPr>
    </w:p>
    <w:p w14:paraId="712762D3" w14:textId="03D1C3B7" w:rsidR="00185AC3" w:rsidRDefault="00D46EFB" w:rsidP="00641886">
      <w:pPr>
        <w:pStyle w:val="Heading2"/>
        <w:spacing w:before="0" w:line="276" w:lineRule="auto"/>
      </w:pPr>
      <w:bookmarkStart w:id="577" w:name="_Ref60925902"/>
      <w:bookmarkStart w:id="578" w:name="_Toc61255933"/>
      <w:r>
        <w:rPr>
          <w:noProof/>
          <w:lang w:eastAsia="en-GB"/>
        </w:rPr>
        <mc:AlternateContent>
          <mc:Choice Requires="wps">
            <w:drawing>
              <wp:anchor distT="45720" distB="45720" distL="114300" distR="114300" simplePos="0" relativeHeight="251642368" behindDoc="0" locked="0" layoutInCell="1" allowOverlap="1" wp14:anchorId="626E03CA" wp14:editId="3BC0EE24">
                <wp:simplePos x="0" y="0"/>
                <wp:positionH relativeFrom="margin">
                  <wp:posOffset>-53340</wp:posOffset>
                </wp:positionH>
                <wp:positionV relativeFrom="paragraph">
                  <wp:posOffset>261620</wp:posOffset>
                </wp:positionV>
                <wp:extent cx="5716905" cy="4412615"/>
                <wp:effectExtent l="0" t="0" r="17145" b="260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4412615"/>
                        </a:xfrm>
                        <a:prstGeom prst="rect">
                          <a:avLst/>
                        </a:prstGeom>
                        <a:solidFill>
                          <a:srgbClr val="FFFFFF"/>
                        </a:solidFill>
                        <a:ln w="9525">
                          <a:solidFill>
                            <a:srgbClr val="04AEB9"/>
                          </a:solidFill>
                          <a:miter lim="800000"/>
                          <a:headEnd/>
                          <a:tailEnd/>
                        </a:ln>
                      </wps:spPr>
                      <wps:txbx>
                        <w:txbxContent>
                          <w:p w14:paraId="015BBC14" w14:textId="77777777" w:rsidR="00185AC3" w:rsidRPr="00637A7A" w:rsidRDefault="00185AC3" w:rsidP="00185AC3">
                            <w:pPr>
                              <w:rPr>
                                <w:rStyle w:val="normaltextrun"/>
                                <w:rFonts w:cstheme="minorHAnsi"/>
                                <w:color w:val="000000"/>
                              </w:rPr>
                            </w:pPr>
                            <w:r w:rsidRPr="00637A7A">
                              <w:rPr>
                                <w:rStyle w:val="normaltextrun"/>
                                <w:rFonts w:cstheme="minorHAnsi"/>
                                <w:b/>
                                <w:bCs/>
                                <w:color w:val="000000"/>
                              </w:rPr>
                              <w:t xml:space="preserve">Summary: </w:t>
                            </w:r>
                          </w:p>
                          <w:p w14:paraId="374B0363" w14:textId="77777777" w:rsidR="00185AC3" w:rsidRPr="00637A7A" w:rsidRDefault="00185AC3" w:rsidP="00185AC3">
                            <w:pPr>
                              <w:spacing w:after="0"/>
                              <w:rPr>
                                <w:rStyle w:val="normaltextrun"/>
                                <w:rFonts w:cstheme="minorHAnsi"/>
                                <w:color w:val="000000"/>
                              </w:rPr>
                            </w:pPr>
                            <w:proofErr w:type="gramStart"/>
                            <w:r w:rsidRPr="00637A7A">
                              <w:rPr>
                                <w:rStyle w:val="normaltextrun"/>
                                <w:rFonts w:cstheme="minorHAnsi"/>
                                <w:color w:val="000000"/>
                              </w:rPr>
                              <w:t>In order to</w:t>
                            </w:r>
                            <w:proofErr w:type="gramEnd"/>
                            <w:r w:rsidRPr="00637A7A">
                              <w:rPr>
                                <w:rStyle w:val="normaltextrun"/>
                                <w:rFonts w:cstheme="minorHAnsi"/>
                                <w:color w:val="000000"/>
                              </w:rPr>
                              <w:t xml:space="preserve"> keep the UPI build and operating costs low for both industry and the DSB, the DSB will re-use its existing staff, systems and processes wherever appropriate. This re-use will result in shared costs between the DSB’s existing services and UPI services and therefore the DSB requires a policy for allocating such shared costs fairly across the services. The policy will be the subject of controls that will be validated through the DSB’s third-party assurance programme.</w:t>
                            </w:r>
                          </w:p>
                          <w:p w14:paraId="53CDC8AD" w14:textId="77777777" w:rsidR="00185AC3" w:rsidRPr="00637A7A" w:rsidRDefault="00185AC3" w:rsidP="00185AC3">
                            <w:pPr>
                              <w:rPr>
                                <w:rStyle w:val="normaltextrun"/>
                                <w:rFonts w:cstheme="minorHAnsi"/>
                                <w:color w:val="000000"/>
                              </w:rPr>
                            </w:pPr>
                            <w:r w:rsidRPr="00637A7A">
                              <w:rPr>
                                <w:rStyle w:val="normaltextrun"/>
                                <w:rFonts w:cstheme="minorHAnsi"/>
                                <w:color w:val="000000"/>
                              </w:rPr>
                              <w:t>Given the start-up nature of the UPI service, the DSB is mindful that a large initial allocation of overheads against the UPI service may place a large cost onto a small number of users in the initial jurisdictions that go live with the UPI. Therefore, the DSB is proposing a phased approach with the allocation of shared costs against the UPI service rising incrementally in the first few years.</w:t>
                            </w:r>
                          </w:p>
                          <w:p w14:paraId="189886BE" w14:textId="77777777" w:rsidR="00185AC3" w:rsidRPr="00637A7A" w:rsidRDefault="00185AC3" w:rsidP="00185AC3">
                            <w:pPr>
                              <w:pStyle w:val="NormalWeb"/>
                              <w:shd w:val="clear" w:color="auto" w:fill="FFFFFF" w:themeFill="background1"/>
                              <w:spacing w:before="0" w:beforeAutospacing="0" w:after="120" w:afterAutospacing="0" w:line="276" w:lineRule="auto"/>
                              <w:textAlignment w:val="baseline"/>
                              <w:rPr>
                                <w:rFonts w:asciiTheme="minorHAnsi" w:hAnsiTheme="minorHAnsi" w:cstheme="minorHAnsi"/>
                                <w:bCs/>
                                <w:sz w:val="22"/>
                                <w:szCs w:val="22"/>
                              </w:rPr>
                            </w:pPr>
                            <w:r w:rsidRPr="00637A7A">
                              <w:rPr>
                                <w:rFonts w:asciiTheme="minorHAnsi" w:hAnsiTheme="minorHAnsi" w:cstheme="minorHAnsi"/>
                                <w:bCs/>
                                <w:sz w:val="22"/>
                                <w:szCs w:val="22"/>
                              </w:rPr>
                              <w:t>Specifically, the DSB proposes that:</w:t>
                            </w:r>
                          </w:p>
                          <w:p w14:paraId="2E75DE19" w14:textId="55DEB13B" w:rsidR="00185AC3" w:rsidRDefault="00185AC3" w:rsidP="00B57710">
                            <w:pPr>
                              <w:pStyle w:val="NormalWeb"/>
                              <w:numPr>
                                <w:ilvl w:val="0"/>
                                <w:numId w:val="3"/>
                              </w:numPr>
                              <w:shd w:val="clear" w:color="auto" w:fill="FFFFFF" w:themeFill="background1"/>
                              <w:spacing w:before="0" w:beforeAutospacing="0" w:after="120" w:afterAutospacing="0" w:line="276" w:lineRule="auto"/>
                              <w:textAlignment w:val="baseline"/>
                              <w:rPr>
                                <w:rFonts w:asciiTheme="minorHAnsi" w:hAnsiTheme="minorHAnsi" w:cstheme="minorHAnsi"/>
                                <w:bCs/>
                                <w:sz w:val="22"/>
                                <w:szCs w:val="22"/>
                              </w:rPr>
                            </w:pPr>
                            <w:r w:rsidRPr="00637A7A">
                              <w:rPr>
                                <w:rFonts w:asciiTheme="minorHAnsi" w:hAnsiTheme="minorHAnsi" w:cstheme="minorHAnsi"/>
                                <w:bCs/>
                                <w:sz w:val="22"/>
                                <w:szCs w:val="22"/>
                              </w:rPr>
                              <w:t xml:space="preserve">The initial UPI build costs be </w:t>
                            </w:r>
                            <w:proofErr w:type="spellStart"/>
                            <w:r w:rsidRPr="00637A7A">
                              <w:rPr>
                                <w:rFonts w:asciiTheme="minorHAnsi" w:hAnsiTheme="minorHAnsi" w:cstheme="minorHAnsi"/>
                                <w:bCs/>
                                <w:sz w:val="22"/>
                                <w:szCs w:val="22"/>
                              </w:rPr>
                              <w:t>amortised</w:t>
                            </w:r>
                            <w:proofErr w:type="spellEnd"/>
                            <w:r w:rsidRPr="00637A7A" w:rsidDel="005E7F9A">
                              <w:rPr>
                                <w:rFonts w:asciiTheme="minorHAnsi" w:hAnsiTheme="minorHAnsi" w:cstheme="minorHAnsi"/>
                                <w:bCs/>
                                <w:sz w:val="22"/>
                                <w:szCs w:val="22"/>
                              </w:rPr>
                              <w:t xml:space="preserve"> </w:t>
                            </w:r>
                            <w:r w:rsidRPr="00637A7A">
                              <w:rPr>
                                <w:rFonts w:asciiTheme="minorHAnsi" w:hAnsiTheme="minorHAnsi" w:cstheme="minorHAnsi"/>
                                <w:bCs/>
                                <w:sz w:val="22"/>
                                <w:szCs w:val="22"/>
                              </w:rPr>
                              <w:t xml:space="preserve">as per existing DSB policy (as consulted in section </w:t>
                            </w:r>
                            <w:r w:rsidRPr="00637A7A">
                              <w:rPr>
                                <w:rFonts w:asciiTheme="minorHAnsi" w:hAnsiTheme="minorHAnsi" w:cstheme="minorHAnsi"/>
                                <w:bCs/>
                                <w:sz w:val="22"/>
                                <w:szCs w:val="22"/>
                              </w:rPr>
                              <w:fldChar w:fldCharType="begin"/>
                            </w:r>
                            <w:r w:rsidRPr="00637A7A">
                              <w:rPr>
                                <w:rFonts w:asciiTheme="minorHAnsi" w:hAnsiTheme="minorHAnsi" w:cstheme="minorHAnsi"/>
                                <w:bCs/>
                                <w:sz w:val="22"/>
                                <w:szCs w:val="22"/>
                              </w:rPr>
                              <w:instrText xml:space="preserve"> REF _Ref57553191 \r \h </w:instrText>
                            </w:r>
                            <w:r w:rsidR="00637A7A" w:rsidRPr="00637A7A">
                              <w:rPr>
                                <w:rFonts w:asciiTheme="minorHAnsi" w:hAnsiTheme="minorHAnsi" w:cstheme="minorHAnsi"/>
                                <w:bCs/>
                                <w:sz w:val="22"/>
                                <w:szCs w:val="22"/>
                              </w:rPr>
                              <w:instrText xml:space="preserve"> \* MERGEFORMAT </w:instrText>
                            </w:r>
                            <w:r w:rsidRPr="00637A7A">
                              <w:rPr>
                                <w:rFonts w:asciiTheme="minorHAnsi" w:hAnsiTheme="minorHAnsi" w:cstheme="minorHAnsi"/>
                                <w:bCs/>
                                <w:sz w:val="22"/>
                                <w:szCs w:val="22"/>
                              </w:rPr>
                            </w:r>
                            <w:r w:rsidRPr="00637A7A">
                              <w:rPr>
                                <w:rFonts w:asciiTheme="minorHAnsi" w:hAnsiTheme="minorHAnsi" w:cstheme="minorHAnsi"/>
                                <w:bCs/>
                                <w:sz w:val="22"/>
                                <w:szCs w:val="22"/>
                              </w:rPr>
                              <w:fldChar w:fldCharType="separate"/>
                            </w:r>
                            <w:r w:rsidRPr="00637A7A">
                              <w:rPr>
                                <w:rFonts w:asciiTheme="minorHAnsi" w:hAnsiTheme="minorHAnsi" w:cstheme="minorHAnsi"/>
                                <w:bCs/>
                                <w:sz w:val="22"/>
                                <w:szCs w:val="22"/>
                              </w:rPr>
                              <w:t>5.8</w:t>
                            </w:r>
                            <w:r w:rsidRPr="00637A7A">
                              <w:rPr>
                                <w:rFonts w:asciiTheme="minorHAnsi" w:hAnsiTheme="minorHAnsi" w:cstheme="minorHAnsi"/>
                                <w:bCs/>
                                <w:sz w:val="22"/>
                                <w:szCs w:val="22"/>
                              </w:rPr>
                              <w:fldChar w:fldCharType="end"/>
                            </w:r>
                            <w:r w:rsidRPr="00637A7A">
                              <w:rPr>
                                <w:rFonts w:asciiTheme="minorHAnsi" w:hAnsiTheme="minorHAnsi" w:cstheme="minorHAnsi"/>
                                <w:bCs/>
                                <w:sz w:val="22"/>
                                <w:szCs w:val="22"/>
                              </w:rPr>
                              <w:t xml:space="preserve"> / </w:t>
                            </w:r>
                            <w:r w:rsidRPr="00637A7A">
                              <w:rPr>
                                <w:rFonts w:asciiTheme="minorHAnsi" w:hAnsiTheme="minorHAnsi" w:cstheme="minorHAnsi"/>
                                <w:bCs/>
                                <w:i/>
                                <w:iCs/>
                                <w:sz w:val="22"/>
                                <w:szCs w:val="22"/>
                              </w:rPr>
                              <w:fldChar w:fldCharType="begin"/>
                            </w:r>
                            <w:r w:rsidRPr="00637A7A">
                              <w:rPr>
                                <w:rFonts w:asciiTheme="minorHAnsi" w:hAnsiTheme="minorHAnsi" w:cstheme="minorHAnsi"/>
                                <w:bCs/>
                                <w:i/>
                                <w:iCs/>
                                <w:sz w:val="22"/>
                                <w:szCs w:val="22"/>
                              </w:rPr>
                              <w:instrText xml:space="preserve"> REF _Ref57553191 \r \h  \* MERGEFORMAT </w:instrText>
                            </w:r>
                            <w:r w:rsidRPr="00637A7A">
                              <w:rPr>
                                <w:rFonts w:asciiTheme="minorHAnsi" w:hAnsiTheme="minorHAnsi" w:cstheme="minorHAnsi"/>
                                <w:bCs/>
                                <w:i/>
                                <w:iCs/>
                                <w:sz w:val="22"/>
                                <w:szCs w:val="22"/>
                              </w:rPr>
                            </w:r>
                            <w:r w:rsidRPr="00637A7A">
                              <w:rPr>
                                <w:rFonts w:asciiTheme="minorHAnsi" w:hAnsiTheme="minorHAnsi" w:cstheme="minorHAnsi"/>
                                <w:bCs/>
                                <w:i/>
                                <w:iCs/>
                                <w:sz w:val="22"/>
                                <w:szCs w:val="22"/>
                              </w:rPr>
                              <w:fldChar w:fldCharType="separate"/>
                            </w:r>
                            <w:r w:rsidRPr="00637A7A">
                              <w:rPr>
                                <w:rFonts w:asciiTheme="minorHAnsi" w:hAnsiTheme="minorHAnsi" w:cstheme="minorHAnsi"/>
                                <w:bCs/>
                                <w:i/>
                                <w:iCs/>
                                <w:sz w:val="22"/>
                                <w:szCs w:val="22"/>
                              </w:rPr>
                              <w:t>Q8</w:t>
                            </w:r>
                            <w:r w:rsidRPr="00637A7A">
                              <w:rPr>
                                <w:rFonts w:asciiTheme="minorHAnsi" w:hAnsiTheme="minorHAnsi" w:cstheme="minorHAnsi"/>
                                <w:bCs/>
                                <w:i/>
                                <w:iCs/>
                                <w:sz w:val="22"/>
                                <w:szCs w:val="22"/>
                              </w:rPr>
                              <w:fldChar w:fldCharType="end"/>
                            </w:r>
                            <w:r w:rsidRPr="00637A7A">
                              <w:rPr>
                                <w:rFonts w:asciiTheme="minorHAnsi" w:hAnsiTheme="minorHAnsi" w:cstheme="minorHAnsi"/>
                                <w:bCs/>
                                <w:i/>
                                <w:iCs/>
                                <w:sz w:val="22"/>
                                <w:szCs w:val="22"/>
                              </w:rPr>
                              <w:t xml:space="preserve"> Capital Expenditure </w:t>
                            </w:r>
                            <w:r w:rsidR="00CB2AA3" w:rsidRPr="00637A7A">
                              <w:rPr>
                                <w:rFonts w:asciiTheme="minorHAnsi" w:hAnsiTheme="minorHAnsi" w:cstheme="minorHAnsi"/>
                                <w:bCs/>
                                <w:i/>
                                <w:iCs/>
                                <w:sz w:val="22"/>
                                <w:szCs w:val="22"/>
                              </w:rPr>
                              <w:t>Amorti</w:t>
                            </w:r>
                            <w:r w:rsidR="00CB2AA3">
                              <w:rPr>
                                <w:rFonts w:asciiTheme="minorHAnsi" w:hAnsiTheme="minorHAnsi" w:cstheme="minorHAnsi"/>
                                <w:bCs/>
                                <w:i/>
                                <w:iCs/>
                                <w:sz w:val="22"/>
                                <w:szCs w:val="22"/>
                              </w:rPr>
                              <w:t>s</w:t>
                            </w:r>
                            <w:r w:rsidR="00CB2AA3" w:rsidRPr="00637A7A">
                              <w:rPr>
                                <w:rFonts w:asciiTheme="minorHAnsi" w:hAnsiTheme="minorHAnsi" w:cstheme="minorHAnsi"/>
                                <w:bCs/>
                                <w:i/>
                                <w:iCs/>
                                <w:sz w:val="22"/>
                                <w:szCs w:val="22"/>
                              </w:rPr>
                              <w:t>ation</w:t>
                            </w:r>
                            <w:r w:rsidRPr="00637A7A">
                              <w:rPr>
                                <w:rFonts w:asciiTheme="minorHAnsi" w:hAnsiTheme="minorHAnsi" w:cstheme="minorHAnsi"/>
                                <w:bCs/>
                                <w:i/>
                                <w:iCs/>
                                <w:sz w:val="22"/>
                                <w:szCs w:val="22"/>
                              </w:rPr>
                              <w:t xml:space="preserve"> Approach</w:t>
                            </w:r>
                            <w:r w:rsidRPr="00637A7A">
                              <w:rPr>
                                <w:rFonts w:asciiTheme="minorHAnsi" w:hAnsiTheme="minorHAnsi" w:cstheme="minorHAnsi"/>
                                <w:bCs/>
                                <w:sz w:val="22"/>
                                <w:szCs w:val="22"/>
                              </w:rPr>
                              <w:t xml:space="preserve">), with the first year of </w:t>
                            </w:r>
                            <w:r w:rsidR="00CB2AA3" w:rsidRPr="00637A7A">
                              <w:rPr>
                                <w:rFonts w:asciiTheme="minorHAnsi" w:hAnsiTheme="minorHAnsi" w:cstheme="minorHAnsi"/>
                                <w:bCs/>
                                <w:sz w:val="22"/>
                                <w:szCs w:val="22"/>
                              </w:rPr>
                              <w:t>amorti</w:t>
                            </w:r>
                            <w:r w:rsidR="00CB2AA3">
                              <w:rPr>
                                <w:rFonts w:asciiTheme="minorHAnsi" w:hAnsiTheme="minorHAnsi" w:cstheme="minorHAnsi"/>
                                <w:bCs/>
                                <w:sz w:val="22"/>
                                <w:szCs w:val="22"/>
                              </w:rPr>
                              <w:t>s</w:t>
                            </w:r>
                            <w:r w:rsidR="00CB2AA3" w:rsidRPr="00637A7A">
                              <w:rPr>
                                <w:rFonts w:asciiTheme="minorHAnsi" w:hAnsiTheme="minorHAnsi" w:cstheme="minorHAnsi"/>
                                <w:bCs/>
                                <w:sz w:val="22"/>
                                <w:szCs w:val="22"/>
                              </w:rPr>
                              <w:t>ation</w:t>
                            </w:r>
                            <w:r w:rsidRPr="00637A7A">
                              <w:rPr>
                                <w:rFonts w:asciiTheme="minorHAnsi" w:hAnsiTheme="minorHAnsi" w:cstheme="minorHAnsi"/>
                                <w:bCs/>
                                <w:sz w:val="22"/>
                                <w:szCs w:val="22"/>
                              </w:rPr>
                              <w:t xml:space="preserve"> being 2023. This means 2022 UPI users will not contribute towards the </w:t>
                            </w:r>
                            <w:r w:rsidR="00CB2AA3" w:rsidRPr="00637A7A">
                              <w:rPr>
                                <w:rFonts w:asciiTheme="minorHAnsi" w:hAnsiTheme="minorHAnsi" w:cstheme="minorHAnsi"/>
                                <w:bCs/>
                                <w:sz w:val="22"/>
                                <w:szCs w:val="22"/>
                              </w:rPr>
                              <w:t>amorti</w:t>
                            </w:r>
                            <w:r w:rsidR="00CB2AA3">
                              <w:rPr>
                                <w:rFonts w:asciiTheme="minorHAnsi" w:hAnsiTheme="minorHAnsi" w:cstheme="minorHAnsi"/>
                                <w:bCs/>
                                <w:sz w:val="22"/>
                                <w:szCs w:val="22"/>
                              </w:rPr>
                              <w:t>s</w:t>
                            </w:r>
                            <w:r w:rsidR="00CB2AA3" w:rsidRPr="00637A7A">
                              <w:rPr>
                                <w:rFonts w:asciiTheme="minorHAnsi" w:hAnsiTheme="minorHAnsi" w:cstheme="minorHAnsi"/>
                                <w:bCs/>
                                <w:sz w:val="22"/>
                                <w:szCs w:val="22"/>
                              </w:rPr>
                              <w:t>ation</w:t>
                            </w:r>
                            <w:r w:rsidRPr="00637A7A">
                              <w:rPr>
                                <w:rFonts w:asciiTheme="minorHAnsi" w:hAnsiTheme="minorHAnsi" w:cstheme="minorHAnsi"/>
                                <w:bCs/>
                                <w:sz w:val="22"/>
                                <w:szCs w:val="22"/>
                              </w:rPr>
                              <w:t xml:space="preserve"> costs, given the smaller anticipated number of UPI users in 2022 vs 2023</w:t>
                            </w:r>
                            <w:r w:rsidR="00D46EFB">
                              <w:rPr>
                                <w:rFonts w:asciiTheme="minorHAnsi" w:hAnsiTheme="minorHAnsi" w:cstheme="minorHAnsi"/>
                                <w:bCs/>
                                <w:sz w:val="22"/>
                                <w:szCs w:val="22"/>
                              </w:rPr>
                              <w:t xml:space="preserve"> </w:t>
                            </w:r>
                          </w:p>
                          <w:p w14:paraId="0D20BC7A" w14:textId="77777777" w:rsidR="00D46EFB" w:rsidRPr="00637A7A" w:rsidRDefault="00D46EFB" w:rsidP="00D46EFB">
                            <w:pPr>
                              <w:pStyle w:val="NormalWeb"/>
                              <w:numPr>
                                <w:ilvl w:val="0"/>
                                <w:numId w:val="3"/>
                              </w:numPr>
                              <w:shd w:val="clear" w:color="auto" w:fill="FFFFFF" w:themeFill="background1"/>
                              <w:spacing w:before="0" w:beforeAutospacing="0" w:after="120" w:afterAutospacing="0" w:line="276" w:lineRule="auto"/>
                              <w:textAlignment w:val="baseline"/>
                              <w:rPr>
                                <w:rFonts w:asciiTheme="minorHAnsi" w:hAnsiTheme="minorHAnsi" w:cstheme="minorHAnsi"/>
                                <w:sz w:val="22"/>
                                <w:szCs w:val="22"/>
                              </w:rPr>
                            </w:pPr>
                            <w:r w:rsidRPr="00637A7A">
                              <w:rPr>
                                <w:rFonts w:asciiTheme="minorHAnsi" w:hAnsiTheme="minorHAnsi" w:cstheme="minorHAnsi"/>
                                <w:bCs/>
                                <w:sz w:val="22"/>
                                <w:szCs w:val="22"/>
                              </w:rPr>
                              <w:t>100% of the synergies available by leveraging the existing DSB platform to be allocated to UPI users in 2022 and 2023, after which the available synergies to be shared between both OTC ISIN users and UPI users via an allocation policy that the DSB will propose and consult with stakeholders</w:t>
                            </w:r>
                            <w:r w:rsidRPr="00637A7A" w:rsidDel="00586DE6">
                              <w:rPr>
                                <w:rFonts w:asciiTheme="minorHAnsi" w:hAnsiTheme="minorHAnsi" w:cstheme="minorHAnsi"/>
                                <w:bCs/>
                                <w:sz w:val="22"/>
                                <w:szCs w:val="22"/>
                              </w:rPr>
                              <w:t xml:space="preserve"> </w:t>
                            </w:r>
                            <w:r w:rsidRPr="00637A7A">
                              <w:rPr>
                                <w:rFonts w:asciiTheme="minorHAnsi" w:hAnsiTheme="minorHAnsi" w:cstheme="minorHAnsi"/>
                                <w:bCs/>
                                <w:sz w:val="22"/>
                                <w:szCs w:val="22"/>
                              </w:rPr>
                              <w:t>in 2023</w:t>
                            </w:r>
                          </w:p>
                          <w:p w14:paraId="5B41FA00" w14:textId="77777777" w:rsidR="00D46EFB" w:rsidRPr="00637A7A" w:rsidRDefault="00D46EFB" w:rsidP="00B57710">
                            <w:pPr>
                              <w:pStyle w:val="NormalWeb"/>
                              <w:numPr>
                                <w:ilvl w:val="0"/>
                                <w:numId w:val="3"/>
                              </w:numPr>
                              <w:shd w:val="clear" w:color="auto" w:fill="FFFFFF" w:themeFill="background1"/>
                              <w:spacing w:before="0" w:beforeAutospacing="0" w:after="120" w:afterAutospacing="0" w:line="276" w:lineRule="auto"/>
                              <w:textAlignment w:val="baseline"/>
                              <w:rPr>
                                <w:rFonts w:asciiTheme="minorHAnsi" w:hAnsiTheme="minorHAnsi" w:cstheme="minorHAnsi"/>
                                <w:bCs/>
                                <w:sz w:val="22"/>
                                <w:szCs w:val="22"/>
                              </w:rPr>
                            </w:pPr>
                          </w:p>
                          <w:p w14:paraId="47A072C8" w14:textId="77777777" w:rsidR="00185AC3" w:rsidRPr="00A92723" w:rsidRDefault="00185AC3" w:rsidP="008F4C25">
                            <w:pPr>
                              <w:pStyle w:val="NormalWeb"/>
                              <w:shd w:val="clear" w:color="auto" w:fill="FFFFFF" w:themeFill="background1"/>
                              <w:spacing w:before="0" w:beforeAutospacing="0" w:after="120" w:afterAutospacing="0" w:line="276" w:lineRule="auto"/>
                              <w:textAlignment w:val="baseline"/>
                              <w:rPr>
                                <w:b/>
                                <w:color w:val="FF0000"/>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E03CA" id="Text Box 11" o:spid="_x0000_s1030" type="#_x0000_t202" style="position:absolute;left:0;text-align:left;margin-left:-4.2pt;margin-top:20.6pt;width:450.15pt;height:347.4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" strokecolor="#04aeb9">
                <v:textbox>
                  <w:txbxContent>
                    <w:p w14:paraId="015BBC14" w14:textId="77777777" w:rsidR="00185AC3" w:rsidRPr="00637A7A" w:rsidRDefault="00185AC3" w:rsidP="00185AC3">
                      <w:pPr>
                        <w:rPr>
                          <w:rStyle w:val="normaltextrun"/>
                          <w:rFonts w:cstheme="minorHAnsi"/>
                          <w:color w:val="000000"/>
                        </w:rPr>
                      </w:pPr>
                      <w:r w:rsidRPr="00637A7A">
                        <w:rPr>
                          <w:rStyle w:val="normaltextrun"/>
                          <w:rFonts w:cstheme="minorHAnsi"/>
                          <w:b/>
                          <w:bCs/>
                          <w:color w:val="000000"/>
                        </w:rPr>
                        <w:t xml:space="preserve">Summary: </w:t>
                      </w:r>
                    </w:p>
                    <w:p w14:paraId="374B0363" w14:textId="77777777" w:rsidR="00185AC3" w:rsidRPr="00637A7A" w:rsidRDefault="00185AC3" w:rsidP="00185AC3">
                      <w:pPr>
                        <w:spacing w:after="0"/>
                        <w:rPr>
                          <w:rStyle w:val="normaltextrun"/>
                          <w:rFonts w:cstheme="minorHAnsi"/>
                          <w:color w:val="000000"/>
                        </w:rPr>
                      </w:pPr>
                      <w:proofErr w:type="gramStart"/>
                      <w:r w:rsidRPr="00637A7A">
                        <w:rPr>
                          <w:rStyle w:val="normaltextrun"/>
                          <w:rFonts w:cstheme="minorHAnsi"/>
                          <w:color w:val="000000"/>
                        </w:rPr>
                        <w:t>In order to</w:t>
                      </w:r>
                      <w:proofErr w:type="gramEnd"/>
                      <w:r w:rsidRPr="00637A7A">
                        <w:rPr>
                          <w:rStyle w:val="normaltextrun"/>
                          <w:rFonts w:cstheme="minorHAnsi"/>
                          <w:color w:val="000000"/>
                        </w:rPr>
                        <w:t xml:space="preserve"> keep the UPI build and operating costs low for both industry and the DSB, the DSB will re-use its existing staff, systems and processes wherever appropriate. This re-use will result in shared costs between the DSB’s existing services and UPI services and therefore the DSB requires a policy for allocating such shared costs fairly across the services. The policy will be the subject of controls that will be validated through the DSB’s third-party assurance programme.</w:t>
                      </w:r>
                    </w:p>
                    <w:p w14:paraId="53CDC8AD" w14:textId="77777777" w:rsidR="00185AC3" w:rsidRPr="00637A7A" w:rsidRDefault="00185AC3" w:rsidP="00185AC3">
                      <w:pPr>
                        <w:rPr>
                          <w:rStyle w:val="normaltextrun"/>
                          <w:rFonts w:cstheme="minorHAnsi"/>
                          <w:color w:val="000000"/>
                        </w:rPr>
                      </w:pPr>
                      <w:r w:rsidRPr="00637A7A">
                        <w:rPr>
                          <w:rStyle w:val="normaltextrun"/>
                          <w:rFonts w:cstheme="minorHAnsi"/>
                          <w:color w:val="000000"/>
                        </w:rPr>
                        <w:t>Given the start-up nature of the UPI service, the DSB is mindful that a large initial allocation of overheads against the UPI service may place a large cost onto a small number of users in the initial jurisdictions that go live with the UPI. Therefore, the DSB is proposing a phased approach with the allocation of shared costs against the UPI service rising incrementally in the first few years.</w:t>
                      </w:r>
                    </w:p>
                    <w:p w14:paraId="189886BE" w14:textId="77777777" w:rsidR="00185AC3" w:rsidRPr="00637A7A" w:rsidRDefault="00185AC3" w:rsidP="00185AC3">
                      <w:pPr>
                        <w:pStyle w:val="NormalWeb"/>
                        <w:shd w:val="clear" w:color="auto" w:fill="FFFFFF" w:themeFill="background1"/>
                        <w:spacing w:before="0" w:beforeAutospacing="0" w:after="120" w:afterAutospacing="0" w:line="276" w:lineRule="auto"/>
                        <w:textAlignment w:val="baseline"/>
                        <w:rPr>
                          <w:rFonts w:asciiTheme="minorHAnsi" w:hAnsiTheme="minorHAnsi" w:cstheme="minorHAnsi"/>
                          <w:bCs/>
                          <w:sz w:val="22"/>
                          <w:szCs w:val="22"/>
                        </w:rPr>
                      </w:pPr>
                      <w:r w:rsidRPr="00637A7A">
                        <w:rPr>
                          <w:rFonts w:asciiTheme="minorHAnsi" w:hAnsiTheme="minorHAnsi" w:cstheme="minorHAnsi"/>
                          <w:bCs/>
                          <w:sz w:val="22"/>
                          <w:szCs w:val="22"/>
                        </w:rPr>
                        <w:t>Specifically, the DSB proposes that:</w:t>
                      </w:r>
                    </w:p>
                    <w:p w14:paraId="2E75DE19" w14:textId="55DEB13B" w:rsidR="00185AC3" w:rsidRDefault="00185AC3" w:rsidP="00B57710">
                      <w:pPr>
                        <w:pStyle w:val="NormalWeb"/>
                        <w:numPr>
                          <w:ilvl w:val="0"/>
                          <w:numId w:val="3"/>
                        </w:numPr>
                        <w:shd w:val="clear" w:color="auto" w:fill="FFFFFF" w:themeFill="background1"/>
                        <w:spacing w:before="0" w:beforeAutospacing="0" w:after="120" w:afterAutospacing="0" w:line="276" w:lineRule="auto"/>
                        <w:textAlignment w:val="baseline"/>
                        <w:rPr>
                          <w:rFonts w:asciiTheme="minorHAnsi" w:hAnsiTheme="minorHAnsi" w:cstheme="minorHAnsi"/>
                          <w:bCs/>
                          <w:sz w:val="22"/>
                          <w:szCs w:val="22"/>
                        </w:rPr>
                      </w:pPr>
                      <w:r w:rsidRPr="00637A7A">
                        <w:rPr>
                          <w:rFonts w:asciiTheme="minorHAnsi" w:hAnsiTheme="minorHAnsi" w:cstheme="minorHAnsi"/>
                          <w:bCs/>
                          <w:sz w:val="22"/>
                          <w:szCs w:val="22"/>
                        </w:rPr>
                        <w:t xml:space="preserve">The initial UPI build costs be </w:t>
                      </w:r>
                      <w:proofErr w:type="spellStart"/>
                      <w:r w:rsidRPr="00637A7A">
                        <w:rPr>
                          <w:rFonts w:asciiTheme="minorHAnsi" w:hAnsiTheme="minorHAnsi" w:cstheme="minorHAnsi"/>
                          <w:bCs/>
                          <w:sz w:val="22"/>
                          <w:szCs w:val="22"/>
                        </w:rPr>
                        <w:t>amortised</w:t>
                      </w:r>
                      <w:proofErr w:type="spellEnd"/>
                      <w:r w:rsidRPr="00637A7A" w:rsidDel="005E7F9A">
                        <w:rPr>
                          <w:rFonts w:asciiTheme="minorHAnsi" w:hAnsiTheme="minorHAnsi" w:cstheme="minorHAnsi"/>
                          <w:bCs/>
                          <w:sz w:val="22"/>
                          <w:szCs w:val="22"/>
                        </w:rPr>
                        <w:t xml:space="preserve"> </w:t>
                      </w:r>
                      <w:r w:rsidRPr="00637A7A">
                        <w:rPr>
                          <w:rFonts w:asciiTheme="minorHAnsi" w:hAnsiTheme="minorHAnsi" w:cstheme="minorHAnsi"/>
                          <w:bCs/>
                          <w:sz w:val="22"/>
                          <w:szCs w:val="22"/>
                        </w:rPr>
                        <w:t xml:space="preserve">as per existing DSB policy (as consulted in section </w:t>
                      </w:r>
                      <w:r w:rsidRPr="00637A7A">
                        <w:rPr>
                          <w:rFonts w:asciiTheme="minorHAnsi" w:hAnsiTheme="minorHAnsi" w:cstheme="minorHAnsi"/>
                          <w:bCs/>
                          <w:sz w:val="22"/>
                          <w:szCs w:val="22"/>
                        </w:rPr>
                        <w:fldChar w:fldCharType="begin"/>
                      </w:r>
                      <w:r w:rsidRPr="00637A7A">
                        <w:rPr>
                          <w:rFonts w:asciiTheme="minorHAnsi" w:hAnsiTheme="minorHAnsi" w:cstheme="minorHAnsi"/>
                          <w:bCs/>
                          <w:sz w:val="22"/>
                          <w:szCs w:val="22"/>
                        </w:rPr>
                        <w:instrText xml:space="preserve"> REF _Ref57553191 \r \h </w:instrText>
                      </w:r>
                      <w:r w:rsidR="00637A7A" w:rsidRPr="00637A7A">
                        <w:rPr>
                          <w:rFonts w:asciiTheme="minorHAnsi" w:hAnsiTheme="minorHAnsi" w:cstheme="minorHAnsi"/>
                          <w:bCs/>
                          <w:sz w:val="22"/>
                          <w:szCs w:val="22"/>
                        </w:rPr>
                        <w:instrText xml:space="preserve"> \* MERGEFORMAT </w:instrText>
                      </w:r>
                      <w:r w:rsidRPr="00637A7A">
                        <w:rPr>
                          <w:rFonts w:asciiTheme="minorHAnsi" w:hAnsiTheme="minorHAnsi" w:cstheme="minorHAnsi"/>
                          <w:bCs/>
                          <w:sz w:val="22"/>
                          <w:szCs w:val="22"/>
                        </w:rPr>
                      </w:r>
                      <w:r w:rsidRPr="00637A7A">
                        <w:rPr>
                          <w:rFonts w:asciiTheme="minorHAnsi" w:hAnsiTheme="minorHAnsi" w:cstheme="minorHAnsi"/>
                          <w:bCs/>
                          <w:sz w:val="22"/>
                          <w:szCs w:val="22"/>
                        </w:rPr>
                        <w:fldChar w:fldCharType="separate"/>
                      </w:r>
                      <w:r w:rsidRPr="00637A7A">
                        <w:rPr>
                          <w:rFonts w:asciiTheme="minorHAnsi" w:hAnsiTheme="minorHAnsi" w:cstheme="minorHAnsi"/>
                          <w:bCs/>
                          <w:sz w:val="22"/>
                          <w:szCs w:val="22"/>
                        </w:rPr>
                        <w:t>5.8</w:t>
                      </w:r>
                      <w:r w:rsidRPr="00637A7A">
                        <w:rPr>
                          <w:rFonts w:asciiTheme="minorHAnsi" w:hAnsiTheme="minorHAnsi" w:cstheme="minorHAnsi"/>
                          <w:bCs/>
                          <w:sz w:val="22"/>
                          <w:szCs w:val="22"/>
                        </w:rPr>
                        <w:fldChar w:fldCharType="end"/>
                      </w:r>
                      <w:r w:rsidRPr="00637A7A">
                        <w:rPr>
                          <w:rFonts w:asciiTheme="minorHAnsi" w:hAnsiTheme="minorHAnsi" w:cstheme="minorHAnsi"/>
                          <w:bCs/>
                          <w:sz w:val="22"/>
                          <w:szCs w:val="22"/>
                        </w:rPr>
                        <w:t xml:space="preserve"> / </w:t>
                      </w:r>
                      <w:r w:rsidRPr="00637A7A">
                        <w:rPr>
                          <w:rFonts w:asciiTheme="minorHAnsi" w:hAnsiTheme="minorHAnsi" w:cstheme="minorHAnsi"/>
                          <w:bCs/>
                          <w:i/>
                          <w:iCs/>
                          <w:sz w:val="22"/>
                          <w:szCs w:val="22"/>
                        </w:rPr>
                        <w:fldChar w:fldCharType="begin"/>
                      </w:r>
                      <w:r w:rsidRPr="00637A7A">
                        <w:rPr>
                          <w:rFonts w:asciiTheme="minorHAnsi" w:hAnsiTheme="minorHAnsi" w:cstheme="minorHAnsi"/>
                          <w:bCs/>
                          <w:i/>
                          <w:iCs/>
                          <w:sz w:val="22"/>
                          <w:szCs w:val="22"/>
                        </w:rPr>
                        <w:instrText xml:space="preserve"> REF _Ref57553191 \r \h  \* MERGEFORMAT </w:instrText>
                      </w:r>
                      <w:r w:rsidRPr="00637A7A">
                        <w:rPr>
                          <w:rFonts w:asciiTheme="minorHAnsi" w:hAnsiTheme="minorHAnsi" w:cstheme="minorHAnsi"/>
                          <w:bCs/>
                          <w:i/>
                          <w:iCs/>
                          <w:sz w:val="22"/>
                          <w:szCs w:val="22"/>
                        </w:rPr>
                      </w:r>
                      <w:r w:rsidRPr="00637A7A">
                        <w:rPr>
                          <w:rFonts w:asciiTheme="minorHAnsi" w:hAnsiTheme="minorHAnsi" w:cstheme="minorHAnsi"/>
                          <w:bCs/>
                          <w:i/>
                          <w:iCs/>
                          <w:sz w:val="22"/>
                          <w:szCs w:val="22"/>
                        </w:rPr>
                        <w:fldChar w:fldCharType="separate"/>
                      </w:r>
                      <w:r w:rsidRPr="00637A7A">
                        <w:rPr>
                          <w:rFonts w:asciiTheme="minorHAnsi" w:hAnsiTheme="minorHAnsi" w:cstheme="minorHAnsi"/>
                          <w:bCs/>
                          <w:i/>
                          <w:iCs/>
                          <w:sz w:val="22"/>
                          <w:szCs w:val="22"/>
                        </w:rPr>
                        <w:t>Q8</w:t>
                      </w:r>
                      <w:r w:rsidRPr="00637A7A">
                        <w:rPr>
                          <w:rFonts w:asciiTheme="minorHAnsi" w:hAnsiTheme="minorHAnsi" w:cstheme="minorHAnsi"/>
                          <w:bCs/>
                          <w:i/>
                          <w:iCs/>
                          <w:sz w:val="22"/>
                          <w:szCs w:val="22"/>
                        </w:rPr>
                        <w:fldChar w:fldCharType="end"/>
                      </w:r>
                      <w:r w:rsidRPr="00637A7A">
                        <w:rPr>
                          <w:rFonts w:asciiTheme="minorHAnsi" w:hAnsiTheme="minorHAnsi" w:cstheme="minorHAnsi"/>
                          <w:bCs/>
                          <w:i/>
                          <w:iCs/>
                          <w:sz w:val="22"/>
                          <w:szCs w:val="22"/>
                        </w:rPr>
                        <w:t xml:space="preserve"> Capital Expenditure </w:t>
                      </w:r>
                      <w:r w:rsidR="00CB2AA3" w:rsidRPr="00637A7A">
                        <w:rPr>
                          <w:rFonts w:asciiTheme="minorHAnsi" w:hAnsiTheme="minorHAnsi" w:cstheme="minorHAnsi"/>
                          <w:bCs/>
                          <w:i/>
                          <w:iCs/>
                          <w:sz w:val="22"/>
                          <w:szCs w:val="22"/>
                        </w:rPr>
                        <w:t>Amorti</w:t>
                      </w:r>
                      <w:r w:rsidR="00CB2AA3">
                        <w:rPr>
                          <w:rFonts w:asciiTheme="minorHAnsi" w:hAnsiTheme="minorHAnsi" w:cstheme="minorHAnsi"/>
                          <w:bCs/>
                          <w:i/>
                          <w:iCs/>
                          <w:sz w:val="22"/>
                          <w:szCs w:val="22"/>
                        </w:rPr>
                        <w:t>s</w:t>
                      </w:r>
                      <w:r w:rsidR="00CB2AA3" w:rsidRPr="00637A7A">
                        <w:rPr>
                          <w:rFonts w:asciiTheme="minorHAnsi" w:hAnsiTheme="minorHAnsi" w:cstheme="minorHAnsi"/>
                          <w:bCs/>
                          <w:i/>
                          <w:iCs/>
                          <w:sz w:val="22"/>
                          <w:szCs w:val="22"/>
                        </w:rPr>
                        <w:t>ation</w:t>
                      </w:r>
                      <w:r w:rsidRPr="00637A7A">
                        <w:rPr>
                          <w:rFonts w:asciiTheme="minorHAnsi" w:hAnsiTheme="minorHAnsi" w:cstheme="minorHAnsi"/>
                          <w:bCs/>
                          <w:i/>
                          <w:iCs/>
                          <w:sz w:val="22"/>
                          <w:szCs w:val="22"/>
                        </w:rPr>
                        <w:t xml:space="preserve"> Approach</w:t>
                      </w:r>
                      <w:r w:rsidRPr="00637A7A">
                        <w:rPr>
                          <w:rFonts w:asciiTheme="minorHAnsi" w:hAnsiTheme="minorHAnsi" w:cstheme="minorHAnsi"/>
                          <w:bCs/>
                          <w:sz w:val="22"/>
                          <w:szCs w:val="22"/>
                        </w:rPr>
                        <w:t xml:space="preserve">), with the first year of </w:t>
                      </w:r>
                      <w:r w:rsidR="00CB2AA3" w:rsidRPr="00637A7A">
                        <w:rPr>
                          <w:rFonts w:asciiTheme="minorHAnsi" w:hAnsiTheme="minorHAnsi" w:cstheme="minorHAnsi"/>
                          <w:bCs/>
                          <w:sz w:val="22"/>
                          <w:szCs w:val="22"/>
                        </w:rPr>
                        <w:t>amorti</w:t>
                      </w:r>
                      <w:r w:rsidR="00CB2AA3">
                        <w:rPr>
                          <w:rFonts w:asciiTheme="minorHAnsi" w:hAnsiTheme="minorHAnsi" w:cstheme="minorHAnsi"/>
                          <w:bCs/>
                          <w:sz w:val="22"/>
                          <w:szCs w:val="22"/>
                        </w:rPr>
                        <w:t>s</w:t>
                      </w:r>
                      <w:r w:rsidR="00CB2AA3" w:rsidRPr="00637A7A">
                        <w:rPr>
                          <w:rFonts w:asciiTheme="minorHAnsi" w:hAnsiTheme="minorHAnsi" w:cstheme="minorHAnsi"/>
                          <w:bCs/>
                          <w:sz w:val="22"/>
                          <w:szCs w:val="22"/>
                        </w:rPr>
                        <w:t>ation</w:t>
                      </w:r>
                      <w:r w:rsidRPr="00637A7A">
                        <w:rPr>
                          <w:rFonts w:asciiTheme="minorHAnsi" w:hAnsiTheme="minorHAnsi" w:cstheme="minorHAnsi"/>
                          <w:bCs/>
                          <w:sz w:val="22"/>
                          <w:szCs w:val="22"/>
                        </w:rPr>
                        <w:t xml:space="preserve"> being 2023. This means 2022 UPI users will not contribute towards the </w:t>
                      </w:r>
                      <w:r w:rsidR="00CB2AA3" w:rsidRPr="00637A7A">
                        <w:rPr>
                          <w:rFonts w:asciiTheme="minorHAnsi" w:hAnsiTheme="minorHAnsi" w:cstheme="minorHAnsi"/>
                          <w:bCs/>
                          <w:sz w:val="22"/>
                          <w:szCs w:val="22"/>
                        </w:rPr>
                        <w:t>amorti</w:t>
                      </w:r>
                      <w:r w:rsidR="00CB2AA3">
                        <w:rPr>
                          <w:rFonts w:asciiTheme="minorHAnsi" w:hAnsiTheme="minorHAnsi" w:cstheme="minorHAnsi"/>
                          <w:bCs/>
                          <w:sz w:val="22"/>
                          <w:szCs w:val="22"/>
                        </w:rPr>
                        <w:t>s</w:t>
                      </w:r>
                      <w:r w:rsidR="00CB2AA3" w:rsidRPr="00637A7A">
                        <w:rPr>
                          <w:rFonts w:asciiTheme="minorHAnsi" w:hAnsiTheme="minorHAnsi" w:cstheme="minorHAnsi"/>
                          <w:bCs/>
                          <w:sz w:val="22"/>
                          <w:szCs w:val="22"/>
                        </w:rPr>
                        <w:t>ation</w:t>
                      </w:r>
                      <w:r w:rsidRPr="00637A7A">
                        <w:rPr>
                          <w:rFonts w:asciiTheme="minorHAnsi" w:hAnsiTheme="minorHAnsi" w:cstheme="minorHAnsi"/>
                          <w:bCs/>
                          <w:sz w:val="22"/>
                          <w:szCs w:val="22"/>
                        </w:rPr>
                        <w:t xml:space="preserve"> costs, given the smaller anticipated number of UPI users in 2022 vs 2023</w:t>
                      </w:r>
                      <w:r w:rsidR="00D46EFB">
                        <w:rPr>
                          <w:rFonts w:asciiTheme="minorHAnsi" w:hAnsiTheme="minorHAnsi" w:cstheme="minorHAnsi"/>
                          <w:bCs/>
                          <w:sz w:val="22"/>
                          <w:szCs w:val="22"/>
                        </w:rPr>
                        <w:t xml:space="preserve"> </w:t>
                      </w:r>
                    </w:p>
                    <w:p w14:paraId="0D20BC7A" w14:textId="77777777" w:rsidR="00D46EFB" w:rsidRPr="00637A7A" w:rsidRDefault="00D46EFB" w:rsidP="00D46EFB">
                      <w:pPr>
                        <w:pStyle w:val="NormalWeb"/>
                        <w:numPr>
                          <w:ilvl w:val="0"/>
                          <w:numId w:val="3"/>
                        </w:numPr>
                        <w:shd w:val="clear" w:color="auto" w:fill="FFFFFF" w:themeFill="background1"/>
                        <w:spacing w:before="0" w:beforeAutospacing="0" w:after="120" w:afterAutospacing="0" w:line="276" w:lineRule="auto"/>
                        <w:textAlignment w:val="baseline"/>
                        <w:rPr>
                          <w:rFonts w:asciiTheme="minorHAnsi" w:hAnsiTheme="minorHAnsi" w:cstheme="minorHAnsi"/>
                          <w:sz w:val="22"/>
                          <w:szCs w:val="22"/>
                        </w:rPr>
                      </w:pPr>
                      <w:r w:rsidRPr="00637A7A">
                        <w:rPr>
                          <w:rFonts w:asciiTheme="minorHAnsi" w:hAnsiTheme="minorHAnsi" w:cstheme="minorHAnsi"/>
                          <w:bCs/>
                          <w:sz w:val="22"/>
                          <w:szCs w:val="22"/>
                        </w:rPr>
                        <w:t>100% of the synergies available by leveraging the existing DSB platform to be allocated to UPI users in 2022 and 2023, after which the available synergies to be shared between both OTC ISIN users and UPI users via an allocation policy that the DSB will propose and consult with stakeholders</w:t>
                      </w:r>
                      <w:r w:rsidRPr="00637A7A" w:rsidDel="00586DE6">
                        <w:rPr>
                          <w:rFonts w:asciiTheme="minorHAnsi" w:hAnsiTheme="minorHAnsi" w:cstheme="minorHAnsi"/>
                          <w:bCs/>
                          <w:sz w:val="22"/>
                          <w:szCs w:val="22"/>
                        </w:rPr>
                        <w:t xml:space="preserve"> </w:t>
                      </w:r>
                      <w:r w:rsidRPr="00637A7A">
                        <w:rPr>
                          <w:rFonts w:asciiTheme="minorHAnsi" w:hAnsiTheme="minorHAnsi" w:cstheme="minorHAnsi"/>
                          <w:bCs/>
                          <w:sz w:val="22"/>
                          <w:szCs w:val="22"/>
                        </w:rPr>
                        <w:t>in 2023</w:t>
                      </w:r>
                    </w:p>
                    <w:p w14:paraId="5B41FA00" w14:textId="77777777" w:rsidR="00D46EFB" w:rsidRPr="00637A7A" w:rsidRDefault="00D46EFB" w:rsidP="00B57710">
                      <w:pPr>
                        <w:pStyle w:val="NormalWeb"/>
                        <w:numPr>
                          <w:ilvl w:val="0"/>
                          <w:numId w:val="3"/>
                        </w:numPr>
                        <w:shd w:val="clear" w:color="auto" w:fill="FFFFFF" w:themeFill="background1"/>
                        <w:spacing w:before="0" w:beforeAutospacing="0" w:after="120" w:afterAutospacing="0" w:line="276" w:lineRule="auto"/>
                        <w:textAlignment w:val="baseline"/>
                        <w:rPr>
                          <w:rFonts w:asciiTheme="minorHAnsi" w:hAnsiTheme="minorHAnsi" w:cstheme="minorHAnsi"/>
                          <w:bCs/>
                          <w:sz w:val="22"/>
                          <w:szCs w:val="22"/>
                        </w:rPr>
                      </w:pPr>
                    </w:p>
                    <w:p w14:paraId="47A072C8" w14:textId="77777777" w:rsidR="00185AC3" w:rsidRPr="00A92723" w:rsidRDefault="00185AC3" w:rsidP="008F4C25">
                      <w:pPr>
                        <w:pStyle w:val="NormalWeb"/>
                        <w:shd w:val="clear" w:color="auto" w:fill="FFFFFF" w:themeFill="background1"/>
                        <w:spacing w:before="0" w:beforeAutospacing="0" w:after="120" w:afterAutospacing="0" w:line="276" w:lineRule="auto"/>
                        <w:textAlignment w:val="baseline"/>
                        <w:rPr>
                          <w:b/>
                          <w:color w:val="FF0000"/>
                          <w:lang w:eastAsia="ja-JP"/>
                        </w:rPr>
                      </w:pPr>
                    </w:p>
                  </w:txbxContent>
                </v:textbox>
                <w10:wrap type="square" anchorx="margin"/>
              </v:shape>
            </w:pict>
          </mc:Fallback>
        </mc:AlternateContent>
      </w:r>
      <w:r w:rsidR="00185AC3">
        <w:t xml:space="preserve"> </w:t>
      </w:r>
      <w:bookmarkStart w:id="579" w:name="_Toc60651789"/>
      <w:bookmarkStart w:id="580" w:name="_Toc60651790"/>
      <w:bookmarkStart w:id="581" w:name="_Toc38842414"/>
      <w:bookmarkStart w:id="582" w:name="_Toc60651791"/>
      <w:bookmarkEnd w:id="569"/>
      <w:bookmarkEnd w:id="570"/>
      <w:bookmarkEnd w:id="576"/>
      <w:bookmarkEnd w:id="579"/>
      <w:bookmarkEnd w:id="580"/>
      <w:r w:rsidR="00185AC3">
        <w:t xml:space="preserve">Q5 – </w:t>
      </w:r>
      <w:bookmarkEnd w:id="581"/>
      <w:r w:rsidR="00185AC3">
        <w:t>UPI Cost Allocation Methodology</w:t>
      </w:r>
      <w:bookmarkEnd w:id="577"/>
      <w:bookmarkEnd w:id="582"/>
      <w:bookmarkEnd w:id="578"/>
      <w:r w:rsidR="00185AC3">
        <w:t xml:space="preserve"> </w:t>
      </w:r>
    </w:p>
    <w:p w14:paraId="093016BC" w14:textId="49CD7C85" w:rsidR="00D46EFB" w:rsidRDefault="00D46EFB" w:rsidP="00C1588F">
      <w:pPr>
        <w:spacing w:line="276" w:lineRule="auto"/>
        <w:jc w:val="both"/>
        <w:rPr>
          <w:u w:val="single"/>
        </w:rPr>
      </w:pPr>
    </w:p>
    <w:p w14:paraId="07BB85A3" w14:textId="400273F0" w:rsidR="00D46EFB" w:rsidRDefault="00D46EFB" w:rsidP="00C1588F">
      <w:pPr>
        <w:spacing w:line="276" w:lineRule="auto"/>
        <w:jc w:val="both"/>
        <w:rPr>
          <w:u w:val="single"/>
        </w:rPr>
      </w:pPr>
    </w:p>
    <w:p w14:paraId="23145B9F" w14:textId="698DC6E5" w:rsidR="00185AC3" w:rsidRPr="008E271F" w:rsidRDefault="00D46EFB" w:rsidP="00C1588F">
      <w:pPr>
        <w:spacing w:line="276" w:lineRule="auto"/>
        <w:jc w:val="both"/>
        <w:rPr>
          <w:u w:val="single"/>
        </w:rPr>
      </w:pPr>
      <w:r>
        <w:rPr>
          <w:noProof/>
          <w:lang w:eastAsia="en-GB"/>
        </w:rPr>
        <w:lastRenderedPageBreak/>
        <mc:AlternateContent>
          <mc:Choice Requires="wps">
            <w:drawing>
              <wp:anchor distT="45720" distB="45720" distL="114300" distR="114300" simplePos="0" relativeHeight="251676160" behindDoc="0" locked="0" layoutInCell="1" allowOverlap="1" wp14:anchorId="7BA02E7E" wp14:editId="1F26D53A">
                <wp:simplePos x="0" y="0"/>
                <wp:positionH relativeFrom="margin">
                  <wp:posOffset>-53340</wp:posOffset>
                </wp:positionH>
                <wp:positionV relativeFrom="paragraph">
                  <wp:posOffset>0</wp:posOffset>
                </wp:positionV>
                <wp:extent cx="5716905" cy="542925"/>
                <wp:effectExtent l="0" t="0" r="1714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542925"/>
                        </a:xfrm>
                        <a:prstGeom prst="rect">
                          <a:avLst/>
                        </a:prstGeom>
                        <a:solidFill>
                          <a:srgbClr val="FFFFFF"/>
                        </a:solidFill>
                        <a:ln w="9525">
                          <a:solidFill>
                            <a:srgbClr val="04AEB9"/>
                          </a:solidFill>
                          <a:miter lim="800000"/>
                          <a:headEnd/>
                          <a:tailEnd/>
                        </a:ln>
                      </wps:spPr>
                      <wps:txbx>
                        <w:txbxContent>
                          <w:p w14:paraId="5774B04E" w14:textId="4CA47AA9" w:rsidR="00D46EFB" w:rsidRPr="00A92723" w:rsidRDefault="00D46EFB" w:rsidP="009B007E">
                            <w:pPr>
                              <w:pStyle w:val="NormalWeb"/>
                              <w:shd w:val="clear" w:color="auto" w:fill="FFFFFF" w:themeFill="background1"/>
                              <w:spacing w:before="0" w:beforeAutospacing="0" w:after="120" w:afterAutospacing="0" w:line="276" w:lineRule="auto"/>
                              <w:ind w:left="360"/>
                              <w:textAlignment w:val="baseline"/>
                              <w:rPr>
                                <w:b/>
                                <w:color w:val="FF0000"/>
                                <w:lang w:eastAsia="ja-JP"/>
                              </w:rPr>
                            </w:pPr>
                            <w:r w:rsidRPr="00637A7A">
                              <w:rPr>
                                <w:rStyle w:val="normaltextrun"/>
                                <w:rFonts w:asciiTheme="minorHAnsi" w:hAnsiTheme="minorHAnsi" w:cstheme="minorHAnsi"/>
                                <w:b/>
                                <w:bCs/>
                                <w:i/>
                                <w:iCs/>
                                <w:color w:val="000000"/>
                                <w:sz w:val="22"/>
                                <w:szCs w:val="22"/>
                              </w:rPr>
                              <w:t>Question 5: Do you agree with the DSB’s proposed cost allocation policy for the DSB’s costs?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02E7E" id="Text Box 6" o:spid="_x0000_s1031" type="#_x0000_t202" style="position:absolute;left:0;text-align:left;margin-left:-4.2pt;margin-top:0;width:450.15pt;height:42.7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" strokecolor="#04aeb9">
                <v:textbox>
                  <w:txbxContent>
                    <w:p w14:paraId="5774B04E" w14:textId="4CA47AA9" w:rsidR="00D46EFB" w:rsidRPr="00A92723" w:rsidRDefault="00D46EFB" w:rsidP="009B007E">
                      <w:pPr>
                        <w:pStyle w:val="NormalWeb"/>
                        <w:shd w:val="clear" w:color="auto" w:fill="FFFFFF" w:themeFill="background1"/>
                        <w:spacing w:before="0" w:beforeAutospacing="0" w:after="120" w:afterAutospacing="0" w:line="276" w:lineRule="auto"/>
                        <w:ind w:left="360"/>
                        <w:textAlignment w:val="baseline"/>
                        <w:rPr>
                          <w:b/>
                          <w:color w:val="FF0000"/>
                          <w:lang w:eastAsia="ja-JP"/>
                        </w:rPr>
                      </w:pPr>
                      <w:r w:rsidRPr="00637A7A">
                        <w:rPr>
                          <w:rStyle w:val="normaltextrun"/>
                          <w:rFonts w:asciiTheme="minorHAnsi" w:hAnsiTheme="minorHAnsi" w:cstheme="minorHAnsi"/>
                          <w:b/>
                          <w:bCs/>
                          <w:i/>
                          <w:iCs/>
                          <w:color w:val="000000"/>
                          <w:sz w:val="22"/>
                          <w:szCs w:val="22"/>
                        </w:rPr>
                        <w:t>Question 5: Do you agree with the DSB’s proposed cost allocation policy for the DSB’s costs?</w:t>
                      </w:r>
                    </w:p>
                  </w:txbxContent>
                </v:textbox>
                <w10:wrap type="square" anchorx="margin"/>
              </v:shape>
            </w:pict>
          </mc:Fallback>
        </mc:AlternateContent>
      </w:r>
      <w:r w:rsidR="00185AC3" w:rsidRPr="008E271F">
        <w:rPr>
          <w:u w:val="single"/>
        </w:rPr>
        <w:t>Supporting Information:</w:t>
      </w:r>
    </w:p>
    <w:p w14:paraId="5F0BA226" w14:textId="1212EF9B"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themeColor="text1"/>
        </w:rPr>
        <w:t xml:space="preserve">The interim report of the DSB’s Technology Advisory Committee Strategy Subcommittee (TAC SSC) in 2019 recommended extracting synergies from the DSB’s systems and technologies wherever appropriate. The TAC SSC believed this approach would keep UPI costs low for both industry and the DSB, by maximising re-use of existing staff, </w:t>
      </w:r>
      <w:proofErr w:type="gramStart"/>
      <w:r w:rsidRPr="008E271F">
        <w:rPr>
          <w:rStyle w:val="normaltextrun"/>
          <w:rFonts w:ascii="Calibri" w:hAnsi="Calibri" w:cs="Calibri"/>
          <w:color w:val="000000" w:themeColor="text1"/>
        </w:rPr>
        <w:t>systems</w:t>
      </w:r>
      <w:proofErr w:type="gramEnd"/>
      <w:r w:rsidRPr="008E271F">
        <w:rPr>
          <w:rStyle w:val="normaltextrun"/>
          <w:rFonts w:ascii="Calibri" w:hAnsi="Calibri" w:cs="Calibri"/>
          <w:color w:val="000000" w:themeColor="text1"/>
        </w:rPr>
        <w:t xml:space="preserve"> and processes.</w:t>
      </w:r>
    </w:p>
    <w:p w14:paraId="5C587F45" w14:textId="35472FC7"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themeColor="text1"/>
        </w:rPr>
        <w:t xml:space="preserve">Based on this recommendation, the DSB is creating a UPI build and operate model that leverages the DSB models from its existing services wherever appropriate. This re-use will result in shared costs between the UPI services and the DSB’s existing services in multiple areas, including staffing, </w:t>
      </w:r>
      <w:proofErr w:type="gramStart"/>
      <w:r w:rsidRPr="008E271F">
        <w:rPr>
          <w:rStyle w:val="normaltextrun"/>
          <w:rFonts w:ascii="Calibri" w:hAnsi="Calibri" w:cs="Calibri"/>
          <w:color w:val="000000" w:themeColor="text1"/>
        </w:rPr>
        <w:t>systems</w:t>
      </w:r>
      <w:proofErr w:type="gramEnd"/>
      <w:r w:rsidRPr="008E271F">
        <w:rPr>
          <w:rStyle w:val="normaltextrun"/>
          <w:rFonts w:ascii="Calibri" w:hAnsi="Calibri" w:cs="Calibri"/>
          <w:color w:val="000000" w:themeColor="text1"/>
        </w:rPr>
        <w:t xml:space="preserve"> and processes. </w:t>
      </w:r>
    </w:p>
    <w:p w14:paraId="4A175062" w14:textId="4AD529CD"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themeColor="text1"/>
        </w:rPr>
        <w:t>The DSB therefore intends to extend its current controls and policies to enable third-party validation of cost allocation across the UPI and its existing services for such shared costs. This in turn means that it will be very helpful for such policies and controls to be based on simple and objective criteria that allow independent validation.</w:t>
      </w:r>
    </w:p>
    <w:p w14:paraId="7B73A307" w14:textId="77777777"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themeColor="text1"/>
        </w:rPr>
        <w:t>Additionally, the DSB is mindful that, during the start-up phase of the UPI service, with the UPI mandates being gradually phased in across the G20, there may need to be a phasing of costs such that UPI users are only asked to take the full burden of the cost of the UPI service when a critical mass of UPI users from multiple jurisdictions have been on-boarded onto the platform.</w:t>
      </w:r>
    </w:p>
    <w:p w14:paraId="1E42452C" w14:textId="77777777"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themeColor="text1"/>
        </w:rPr>
        <w:t>This consideration, which was also a factor in the start-up phase of the DSB’s OTC ISIN service, addresses the potentially inequitable scenario of the initial UPI users paying large per-user fees because the costs of the UPI service in the initial months are divided amongst a relatively small number of users. To mitigate this risk, the DSB is proposing a phased approach for the recovery of the costs of the UPI service, with full cost recovery only occurring after the service has been live for some time.</w:t>
      </w:r>
    </w:p>
    <w:p w14:paraId="6F6465C0" w14:textId="77777777" w:rsidR="00185AC3" w:rsidRPr="008E271F" w:rsidRDefault="00185AC3" w:rsidP="00C1588F">
      <w:pPr>
        <w:spacing w:line="276" w:lineRule="auto"/>
        <w:rPr>
          <w:rStyle w:val="normaltextrun"/>
          <w:rFonts w:ascii="Calibri" w:hAnsi="Calibri" w:cs="Calibri"/>
          <w:color w:val="000000"/>
        </w:rPr>
      </w:pPr>
      <w:r w:rsidRPr="008E271F">
        <w:rPr>
          <w:rStyle w:val="normaltextrun"/>
          <w:rFonts w:ascii="Calibri" w:hAnsi="Calibri" w:cs="Calibri"/>
          <w:color w:val="000000" w:themeColor="text1"/>
        </w:rPr>
        <w:t>The DSB observed the following principles when devising its proposal (detailed below):</w:t>
      </w:r>
    </w:p>
    <w:p w14:paraId="79A05C80" w14:textId="77777777" w:rsidR="00185AC3" w:rsidRPr="008E271F" w:rsidRDefault="00185AC3" w:rsidP="0048715D">
      <w:pPr>
        <w:pStyle w:val="ListParagraph"/>
        <w:numPr>
          <w:ilvl w:val="0"/>
          <w:numId w:val="7"/>
        </w:numPr>
        <w:spacing w:after="0" w:line="276" w:lineRule="auto"/>
        <w:contextualSpacing w:val="0"/>
        <w:rPr>
          <w:rFonts w:eastAsia="Times New Roman"/>
        </w:rPr>
      </w:pPr>
      <w:r w:rsidRPr="008E271F">
        <w:rPr>
          <w:rFonts w:eastAsia="Times New Roman"/>
        </w:rPr>
        <w:t xml:space="preserve">Ensure the financial stability of the DSB </w:t>
      </w:r>
    </w:p>
    <w:p w14:paraId="18098E1E" w14:textId="77777777" w:rsidR="00185AC3" w:rsidRPr="008E271F" w:rsidRDefault="00185AC3" w:rsidP="0087769A">
      <w:pPr>
        <w:pStyle w:val="ListParagraph"/>
        <w:numPr>
          <w:ilvl w:val="0"/>
          <w:numId w:val="7"/>
        </w:numPr>
        <w:spacing w:after="0" w:line="276" w:lineRule="auto"/>
        <w:contextualSpacing w:val="0"/>
        <w:rPr>
          <w:rFonts w:eastAsia="Times New Roman"/>
        </w:rPr>
      </w:pPr>
      <w:r w:rsidRPr="008E271F">
        <w:rPr>
          <w:rFonts w:eastAsia="Times New Roman"/>
        </w:rPr>
        <w:t>Provide an equitable fee model for the initial UPI user base</w:t>
      </w:r>
    </w:p>
    <w:p w14:paraId="419DD2DD" w14:textId="77777777" w:rsidR="00185AC3" w:rsidRPr="008E271F" w:rsidRDefault="00185AC3" w:rsidP="0087769A">
      <w:pPr>
        <w:pStyle w:val="ListParagraph"/>
        <w:numPr>
          <w:ilvl w:val="0"/>
          <w:numId w:val="7"/>
        </w:numPr>
        <w:spacing w:after="0" w:line="276" w:lineRule="auto"/>
        <w:contextualSpacing w:val="0"/>
        <w:rPr>
          <w:rFonts w:eastAsia="Times New Roman"/>
        </w:rPr>
      </w:pPr>
      <w:r w:rsidRPr="008E271F">
        <w:rPr>
          <w:rFonts w:eastAsia="Times New Roman"/>
        </w:rPr>
        <w:t xml:space="preserve">Ensure users of the DSB’s existing services are never worse off </w:t>
      </w:r>
      <w:proofErr w:type="gramStart"/>
      <w:r w:rsidRPr="008E271F">
        <w:rPr>
          <w:rFonts w:eastAsia="Times New Roman"/>
        </w:rPr>
        <w:t>as a result of</w:t>
      </w:r>
      <w:proofErr w:type="gramEnd"/>
      <w:r w:rsidRPr="008E271F">
        <w:rPr>
          <w:rFonts w:eastAsia="Times New Roman"/>
        </w:rPr>
        <w:t xml:space="preserve"> the UPI service build and run</w:t>
      </w:r>
    </w:p>
    <w:p w14:paraId="5EAF4A71" w14:textId="77777777" w:rsidR="00185AC3" w:rsidRPr="008E271F" w:rsidRDefault="00185AC3" w:rsidP="00641886">
      <w:pPr>
        <w:pStyle w:val="ListParagraph"/>
        <w:numPr>
          <w:ilvl w:val="0"/>
          <w:numId w:val="7"/>
        </w:numPr>
        <w:spacing w:after="0" w:line="276" w:lineRule="auto"/>
        <w:contextualSpacing w:val="0"/>
        <w:rPr>
          <w:rFonts w:eastAsia="Times New Roman"/>
        </w:rPr>
      </w:pPr>
      <w:r w:rsidRPr="008E271F">
        <w:rPr>
          <w:rFonts w:eastAsia="Times New Roman"/>
        </w:rPr>
        <w:t>Ensure an end state that provides an equitable allocation of shared costs across the DSB’s existing user base and the UPI user base</w:t>
      </w:r>
    </w:p>
    <w:p w14:paraId="05C7A8F2" w14:textId="77777777" w:rsidR="00185AC3" w:rsidRPr="008E271F" w:rsidRDefault="00185AC3" w:rsidP="00641886">
      <w:pPr>
        <w:pStyle w:val="ListParagraph"/>
        <w:numPr>
          <w:ilvl w:val="0"/>
          <w:numId w:val="7"/>
        </w:numPr>
        <w:spacing w:after="240" w:line="276" w:lineRule="auto"/>
        <w:ind w:left="714" w:hanging="357"/>
        <w:contextualSpacing w:val="0"/>
        <w:rPr>
          <w:rFonts w:eastAsia="Times New Roman"/>
        </w:rPr>
      </w:pPr>
      <w:r w:rsidRPr="008E271F">
        <w:rPr>
          <w:rFonts w:eastAsia="Times New Roman"/>
        </w:rPr>
        <w:t>Leverage existing DSB processes and policies wherever appropriate</w:t>
      </w:r>
    </w:p>
    <w:p w14:paraId="57A901DC" w14:textId="77777777" w:rsidR="00185AC3" w:rsidRPr="008E271F" w:rsidRDefault="00185AC3" w:rsidP="00641886">
      <w:pPr>
        <w:pStyle w:val="NormalWeb"/>
        <w:shd w:val="clear" w:color="auto" w:fill="FFFFFF" w:themeFill="background1"/>
        <w:spacing w:before="0" w:beforeAutospacing="0" w:after="120" w:afterAutospacing="0" w:line="276" w:lineRule="auto"/>
        <w:textAlignment w:val="baseline"/>
        <w:rPr>
          <w:rStyle w:val="normaltextrun"/>
          <w:rFonts w:asciiTheme="minorHAnsi" w:hAnsiTheme="minorHAnsi" w:cstheme="minorHAnsi"/>
          <w:bCs/>
          <w:sz w:val="22"/>
          <w:szCs w:val="22"/>
          <w:u w:val="single"/>
        </w:rPr>
      </w:pPr>
      <w:r w:rsidRPr="008E271F">
        <w:rPr>
          <w:rStyle w:val="normaltextrun"/>
          <w:rFonts w:asciiTheme="minorHAnsi" w:hAnsiTheme="minorHAnsi" w:cstheme="minorHAnsi"/>
          <w:b/>
          <w:sz w:val="22"/>
          <w:szCs w:val="22"/>
          <w:u w:val="single"/>
        </w:rPr>
        <w:t>DSB Proposal:</w:t>
      </w:r>
      <w:r w:rsidRPr="008E271F">
        <w:rPr>
          <w:rStyle w:val="normaltextrun"/>
          <w:rFonts w:asciiTheme="minorHAnsi" w:hAnsiTheme="minorHAnsi" w:cstheme="minorHAnsi"/>
          <w:bCs/>
          <w:sz w:val="22"/>
          <w:szCs w:val="22"/>
          <w:u w:val="single"/>
        </w:rPr>
        <w:t xml:space="preserve"> </w:t>
      </w:r>
    </w:p>
    <w:p w14:paraId="09B94CBC" w14:textId="77777777" w:rsidR="00185AC3" w:rsidRPr="008E271F" w:rsidRDefault="00185AC3" w:rsidP="00641886">
      <w:pPr>
        <w:pStyle w:val="NormalWeb"/>
        <w:shd w:val="clear" w:color="auto" w:fill="FFFFFF" w:themeFill="background1"/>
        <w:spacing w:before="0" w:beforeAutospacing="0" w:after="120" w:afterAutospacing="0" w:line="276" w:lineRule="auto"/>
        <w:textAlignment w:val="baseline"/>
        <w:rPr>
          <w:rStyle w:val="normaltextrun"/>
          <w:rFonts w:asciiTheme="minorHAnsi" w:hAnsiTheme="minorHAnsi" w:cstheme="minorHAnsi"/>
          <w:sz w:val="22"/>
          <w:szCs w:val="22"/>
        </w:rPr>
      </w:pPr>
      <w:r w:rsidRPr="008E271F">
        <w:rPr>
          <w:rFonts w:asciiTheme="minorHAnsi" w:hAnsiTheme="minorHAnsi" w:cstheme="minorHAnsi"/>
          <w:bCs/>
          <w:sz w:val="22"/>
          <w:szCs w:val="22"/>
        </w:rPr>
        <w:t xml:space="preserve">The DSB proposes to phase in a gradual increase in costs allocated to the UPI user base from 2022 to 2024 as described below.  </w:t>
      </w:r>
    </w:p>
    <w:p w14:paraId="24C18CC9" w14:textId="77777777" w:rsidR="00185AC3" w:rsidRPr="008E271F" w:rsidRDefault="00185AC3" w:rsidP="003F6833">
      <w:pPr>
        <w:spacing w:line="276" w:lineRule="auto"/>
        <w:ind w:firstLine="284"/>
        <w:rPr>
          <w:u w:val="single"/>
        </w:rPr>
      </w:pPr>
      <w:r w:rsidRPr="008E271F">
        <w:rPr>
          <w:u w:val="single"/>
        </w:rPr>
        <w:t>2022 Q3-Q4</w:t>
      </w:r>
    </w:p>
    <w:p w14:paraId="3042AF3F" w14:textId="77777777" w:rsidR="00185AC3" w:rsidRPr="008E271F" w:rsidRDefault="00185AC3" w:rsidP="003F6833">
      <w:pPr>
        <w:pStyle w:val="ListParagraph"/>
        <w:numPr>
          <w:ilvl w:val="0"/>
          <w:numId w:val="6"/>
        </w:numPr>
        <w:spacing w:after="0" w:line="276" w:lineRule="auto"/>
        <w:ind w:left="851"/>
        <w:contextualSpacing w:val="0"/>
        <w:rPr>
          <w:rFonts w:eastAsia="Times New Roman"/>
        </w:rPr>
      </w:pPr>
      <w:r w:rsidRPr="008E271F">
        <w:rPr>
          <w:rFonts w:eastAsia="Times New Roman"/>
        </w:rPr>
        <w:t xml:space="preserve">UPI users only pay the DSB’s incremental operating expenditure cost uplift </w:t>
      </w:r>
    </w:p>
    <w:p w14:paraId="0949CE85" w14:textId="77777777" w:rsidR="00185AC3" w:rsidRPr="008E271F" w:rsidRDefault="00185AC3" w:rsidP="003F6833">
      <w:pPr>
        <w:pStyle w:val="ListParagraph"/>
        <w:numPr>
          <w:ilvl w:val="0"/>
          <w:numId w:val="6"/>
        </w:numPr>
        <w:spacing w:after="0" w:line="276" w:lineRule="auto"/>
        <w:ind w:left="851"/>
        <w:contextualSpacing w:val="0"/>
        <w:rPr>
          <w:rFonts w:eastAsia="Times New Roman"/>
        </w:rPr>
      </w:pPr>
      <w:r w:rsidRPr="008E271F">
        <w:rPr>
          <w:rFonts w:eastAsia="Times New Roman"/>
        </w:rPr>
        <w:t xml:space="preserve">No allocation of UPI build costs in 2022 (working capital is provided by DSB shareholders) </w:t>
      </w:r>
    </w:p>
    <w:p w14:paraId="6F84747E" w14:textId="77777777" w:rsidR="00185AC3" w:rsidRPr="008E271F" w:rsidRDefault="00185AC3" w:rsidP="003F6833">
      <w:pPr>
        <w:pStyle w:val="ListParagraph"/>
        <w:numPr>
          <w:ilvl w:val="0"/>
          <w:numId w:val="6"/>
        </w:numPr>
        <w:spacing w:after="240" w:line="276" w:lineRule="auto"/>
        <w:ind w:left="850" w:hanging="357"/>
        <w:contextualSpacing w:val="0"/>
        <w:rPr>
          <w:rFonts w:eastAsia="Times New Roman"/>
        </w:rPr>
      </w:pPr>
      <w:r w:rsidRPr="008E271F">
        <w:rPr>
          <w:rFonts w:eastAsia="Times New Roman"/>
        </w:rPr>
        <w:lastRenderedPageBreak/>
        <w:t>No allocation of DSB shared costs to UPI users</w:t>
      </w:r>
    </w:p>
    <w:p w14:paraId="4775FE1C" w14:textId="77777777" w:rsidR="00185AC3" w:rsidRPr="008E271F" w:rsidRDefault="00185AC3" w:rsidP="003F6833">
      <w:pPr>
        <w:spacing w:line="276" w:lineRule="auto"/>
        <w:ind w:firstLine="284"/>
        <w:rPr>
          <w:u w:val="single"/>
        </w:rPr>
      </w:pPr>
      <w:r w:rsidRPr="008E271F">
        <w:rPr>
          <w:u w:val="single"/>
        </w:rPr>
        <w:t>2023</w:t>
      </w:r>
    </w:p>
    <w:p w14:paraId="14A24739" w14:textId="77777777" w:rsidR="00185AC3" w:rsidRPr="008E271F" w:rsidRDefault="00185AC3" w:rsidP="003F6833">
      <w:pPr>
        <w:pStyle w:val="ListParagraph"/>
        <w:numPr>
          <w:ilvl w:val="0"/>
          <w:numId w:val="6"/>
        </w:numPr>
        <w:spacing w:after="0" w:line="276" w:lineRule="auto"/>
        <w:ind w:left="851"/>
        <w:contextualSpacing w:val="0"/>
        <w:rPr>
          <w:rFonts w:eastAsia="Times New Roman"/>
        </w:rPr>
      </w:pPr>
      <w:r w:rsidRPr="008E271F">
        <w:rPr>
          <w:rFonts w:eastAsia="Times New Roman"/>
        </w:rPr>
        <w:t xml:space="preserve">UPI users only pay the DSB’s incremental operating expenditure cost uplift </w:t>
      </w:r>
    </w:p>
    <w:p w14:paraId="30932163" w14:textId="78CAC8B1" w:rsidR="00185AC3" w:rsidRPr="008E271F" w:rsidRDefault="00185AC3" w:rsidP="003F6833">
      <w:pPr>
        <w:pStyle w:val="ListParagraph"/>
        <w:numPr>
          <w:ilvl w:val="0"/>
          <w:numId w:val="6"/>
        </w:numPr>
        <w:spacing w:after="0" w:line="276" w:lineRule="auto"/>
        <w:ind w:left="851"/>
        <w:contextualSpacing w:val="0"/>
        <w:rPr>
          <w:rFonts w:eastAsia="Times New Roman"/>
        </w:rPr>
      </w:pPr>
      <w:proofErr w:type="gramStart"/>
      <w:r w:rsidRPr="008E271F">
        <w:rPr>
          <w:rFonts w:eastAsia="Times New Roman"/>
        </w:rPr>
        <w:t>Plus</w:t>
      </w:r>
      <w:proofErr w:type="gramEnd"/>
      <w:r w:rsidRPr="008E271F">
        <w:rPr>
          <w:rFonts w:eastAsia="Times New Roman"/>
        </w:rPr>
        <w:t xml:space="preserve"> the amortisation of UPI capex as per DSB capital expenditure rules</w:t>
      </w:r>
      <w:r w:rsidR="004C3128">
        <w:rPr>
          <w:rStyle w:val="FootnoteReference"/>
          <w:rFonts w:eastAsia="Times New Roman"/>
        </w:rPr>
        <w:footnoteReference w:id="44"/>
      </w:r>
    </w:p>
    <w:p w14:paraId="177497FA" w14:textId="77777777" w:rsidR="00185AC3" w:rsidRPr="008E271F" w:rsidRDefault="00185AC3" w:rsidP="003F6833">
      <w:pPr>
        <w:pStyle w:val="ListParagraph"/>
        <w:numPr>
          <w:ilvl w:val="0"/>
          <w:numId w:val="6"/>
        </w:numPr>
        <w:spacing w:after="240" w:line="276" w:lineRule="auto"/>
        <w:ind w:left="850" w:hanging="357"/>
        <w:contextualSpacing w:val="0"/>
        <w:rPr>
          <w:rFonts w:eastAsia="Times New Roman"/>
        </w:rPr>
      </w:pPr>
      <w:r w:rsidRPr="008E271F">
        <w:rPr>
          <w:rFonts w:eastAsia="Times New Roman"/>
        </w:rPr>
        <w:t>No allocation of DSB shared costs to UPI users</w:t>
      </w:r>
    </w:p>
    <w:p w14:paraId="6EF71075" w14:textId="77777777" w:rsidR="00185AC3" w:rsidRPr="008E271F" w:rsidRDefault="00185AC3" w:rsidP="003F6833">
      <w:pPr>
        <w:spacing w:line="276" w:lineRule="auto"/>
        <w:ind w:firstLine="284"/>
        <w:rPr>
          <w:u w:val="single"/>
        </w:rPr>
      </w:pPr>
      <w:r w:rsidRPr="008E271F">
        <w:rPr>
          <w:u w:val="single"/>
        </w:rPr>
        <w:t>2024</w:t>
      </w:r>
    </w:p>
    <w:p w14:paraId="173F5304" w14:textId="77777777" w:rsidR="00185AC3" w:rsidRPr="008E271F" w:rsidRDefault="00185AC3" w:rsidP="003F6833">
      <w:pPr>
        <w:pStyle w:val="ListParagraph"/>
        <w:numPr>
          <w:ilvl w:val="0"/>
          <w:numId w:val="6"/>
        </w:numPr>
        <w:spacing w:after="0" w:line="276" w:lineRule="auto"/>
        <w:ind w:left="851"/>
        <w:contextualSpacing w:val="0"/>
        <w:rPr>
          <w:rFonts w:eastAsia="Times New Roman"/>
        </w:rPr>
      </w:pPr>
      <w:r w:rsidRPr="008E271F">
        <w:rPr>
          <w:rFonts w:eastAsia="Times New Roman"/>
        </w:rPr>
        <w:t xml:space="preserve">UPI users only pay the DSB’s incremental operating expenditure cost uplift </w:t>
      </w:r>
    </w:p>
    <w:p w14:paraId="73607354" w14:textId="77777777" w:rsidR="00185AC3" w:rsidRPr="008E271F" w:rsidRDefault="00185AC3" w:rsidP="003F6833">
      <w:pPr>
        <w:pStyle w:val="ListParagraph"/>
        <w:numPr>
          <w:ilvl w:val="0"/>
          <w:numId w:val="6"/>
        </w:numPr>
        <w:spacing w:after="0" w:line="276" w:lineRule="auto"/>
        <w:ind w:left="851"/>
        <w:contextualSpacing w:val="0"/>
        <w:rPr>
          <w:rFonts w:eastAsia="Times New Roman"/>
        </w:rPr>
      </w:pPr>
      <w:proofErr w:type="gramStart"/>
      <w:r w:rsidRPr="008E271F">
        <w:rPr>
          <w:rFonts w:eastAsia="Times New Roman"/>
        </w:rPr>
        <w:t>Plus</w:t>
      </w:r>
      <w:proofErr w:type="gramEnd"/>
      <w:r w:rsidRPr="008E271F">
        <w:rPr>
          <w:rFonts w:eastAsia="Times New Roman"/>
        </w:rPr>
        <w:t xml:space="preserve"> the amortisation of UPI capex as per DSB capital expenditure rules</w:t>
      </w:r>
    </w:p>
    <w:p w14:paraId="5635442B" w14:textId="35AE9C55" w:rsidR="00185AC3" w:rsidRPr="008E271F" w:rsidRDefault="00185AC3" w:rsidP="003F6833">
      <w:pPr>
        <w:pStyle w:val="ListParagraph"/>
        <w:numPr>
          <w:ilvl w:val="0"/>
          <w:numId w:val="6"/>
        </w:numPr>
        <w:spacing w:after="0" w:line="276" w:lineRule="auto"/>
        <w:ind w:left="851"/>
        <w:contextualSpacing w:val="0"/>
        <w:rPr>
          <w:rFonts w:eastAsia="Times New Roman"/>
        </w:rPr>
      </w:pPr>
      <w:proofErr w:type="gramStart"/>
      <w:r w:rsidRPr="008E271F">
        <w:rPr>
          <w:rFonts w:eastAsia="Times New Roman"/>
        </w:rPr>
        <w:t>Plus</w:t>
      </w:r>
      <w:proofErr w:type="gramEnd"/>
      <w:r w:rsidRPr="008E271F">
        <w:rPr>
          <w:rFonts w:eastAsia="Times New Roman"/>
        </w:rPr>
        <w:t xml:space="preserve"> a portion of shared costs</w:t>
      </w:r>
      <w:r w:rsidR="0074175A">
        <w:rPr>
          <w:rStyle w:val="FootnoteReference"/>
          <w:rFonts w:eastAsia="Times New Roman"/>
        </w:rPr>
        <w:footnoteReference w:id="45"/>
      </w:r>
      <w:r w:rsidRPr="008E271F">
        <w:rPr>
          <w:rFonts w:eastAsia="Times New Roman"/>
        </w:rPr>
        <w:t xml:space="preserve"> (</w:t>
      </w:r>
      <w:r w:rsidR="0074175A">
        <w:rPr>
          <w:rFonts w:eastAsia="Times New Roman"/>
        </w:rPr>
        <w:t xml:space="preserve">shared </w:t>
      </w:r>
      <w:r w:rsidRPr="008E271F">
        <w:rPr>
          <w:rFonts w:eastAsia="Times New Roman"/>
        </w:rPr>
        <w:t xml:space="preserve">cost allocation policy </w:t>
      </w:r>
      <w:r w:rsidR="00634724">
        <w:rPr>
          <w:rFonts w:eastAsia="Times New Roman"/>
        </w:rPr>
        <w:t>to be determined</w:t>
      </w:r>
      <w:r w:rsidRPr="008E271F">
        <w:rPr>
          <w:rFonts w:eastAsia="Times New Roman"/>
        </w:rPr>
        <w:t xml:space="preserve"> based on Industry Consultation to occur in 2023)</w:t>
      </w:r>
    </w:p>
    <w:p w14:paraId="5484F9C4" w14:textId="77777777" w:rsidR="00185AC3" w:rsidRPr="008E271F" w:rsidRDefault="00185AC3" w:rsidP="0048715D">
      <w:pPr>
        <w:pStyle w:val="NormalWeb"/>
        <w:shd w:val="clear" w:color="auto" w:fill="FFFFFF" w:themeFill="background1"/>
        <w:spacing w:before="0" w:beforeAutospacing="0" w:after="120" w:afterAutospacing="0" w:line="276" w:lineRule="auto"/>
        <w:textAlignment w:val="baseline"/>
        <w:rPr>
          <w:rFonts w:asciiTheme="minorHAnsi" w:hAnsiTheme="minorHAnsi" w:cstheme="minorHAnsi"/>
          <w:bCs/>
          <w:sz w:val="22"/>
          <w:szCs w:val="22"/>
          <w:lang w:val="en-GB"/>
        </w:rPr>
      </w:pPr>
    </w:p>
    <w:p w14:paraId="2A056C51" w14:textId="4902C23C" w:rsidR="009B65B6" w:rsidRPr="0035350F" w:rsidRDefault="009B65B6" w:rsidP="009B65B6">
      <w:pPr>
        <w:pStyle w:val="NormalWeb"/>
        <w:shd w:val="clear" w:color="auto" w:fill="FFFFFF" w:themeFill="background1"/>
        <w:spacing w:before="0" w:beforeAutospacing="0" w:after="120" w:afterAutospacing="0" w:line="276" w:lineRule="auto"/>
        <w:textAlignment w:val="baseline"/>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This model entails the creation of an explicit </w:t>
      </w:r>
      <w:r w:rsidR="0001079A">
        <w:rPr>
          <w:rFonts w:asciiTheme="minorHAnsi" w:hAnsiTheme="minorHAnsi" w:cstheme="minorHAnsi"/>
          <w:bCs/>
          <w:sz w:val="22"/>
          <w:szCs w:val="22"/>
          <w:lang w:val="en-GB"/>
        </w:rPr>
        <w:t xml:space="preserve">shared cost allocation </w:t>
      </w:r>
      <w:r>
        <w:rPr>
          <w:rFonts w:asciiTheme="minorHAnsi" w:hAnsiTheme="minorHAnsi" w:cstheme="minorHAnsi"/>
          <w:bCs/>
          <w:sz w:val="22"/>
          <w:szCs w:val="22"/>
          <w:lang w:val="en-GB"/>
        </w:rPr>
        <w:t>policy to capture all the synergies between the UPI service and the DSB’s existing services based on the set of objective rules outlined above. Therefore</w:t>
      </w:r>
      <w:r w:rsidR="00A27DB2">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w:t>
      </w:r>
      <w:r w:rsidR="002759A0">
        <w:rPr>
          <w:rFonts w:asciiTheme="minorHAnsi" w:hAnsiTheme="minorHAnsi" w:cstheme="minorHAnsi"/>
          <w:bCs/>
          <w:sz w:val="22"/>
          <w:szCs w:val="22"/>
          <w:lang w:val="en-GB"/>
        </w:rPr>
        <w:t>in alignment with the</w:t>
      </w:r>
      <w:r w:rsidR="002759A0" w:rsidRPr="002759A0">
        <w:t xml:space="preserve"> </w:t>
      </w:r>
      <w:r w:rsidR="002759A0" w:rsidRPr="002759A0">
        <w:rPr>
          <w:rFonts w:asciiTheme="minorHAnsi" w:hAnsiTheme="minorHAnsi" w:cstheme="minorHAnsi"/>
          <w:bCs/>
          <w:sz w:val="22"/>
          <w:szCs w:val="22"/>
          <w:lang w:val="en-GB"/>
        </w:rPr>
        <w:t>Co</w:t>
      </w:r>
      <w:r w:rsidR="002759A0">
        <w:rPr>
          <w:rFonts w:asciiTheme="minorHAnsi" w:hAnsiTheme="minorHAnsi" w:cstheme="minorHAnsi"/>
          <w:bCs/>
          <w:sz w:val="22"/>
          <w:szCs w:val="22"/>
          <w:lang w:val="en-GB"/>
        </w:rPr>
        <w:t>nflict</w:t>
      </w:r>
      <w:r w:rsidR="00D1019B">
        <w:rPr>
          <w:rFonts w:asciiTheme="minorHAnsi" w:hAnsiTheme="minorHAnsi" w:cstheme="minorHAnsi"/>
          <w:bCs/>
          <w:sz w:val="22"/>
          <w:szCs w:val="22"/>
          <w:lang w:val="en-GB"/>
        </w:rPr>
        <w:t>s</w:t>
      </w:r>
      <w:r w:rsidR="002759A0">
        <w:rPr>
          <w:rFonts w:asciiTheme="minorHAnsi" w:hAnsiTheme="minorHAnsi" w:cstheme="minorHAnsi"/>
          <w:bCs/>
          <w:sz w:val="22"/>
          <w:szCs w:val="22"/>
          <w:lang w:val="en-GB"/>
        </w:rPr>
        <w:t xml:space="preserve"> of </w:t>
      </w:r>
      <w:r w:rsidR="001C1BE7">
        <w:rPr>
          <w:rFonts w:asciiTheme="minorHAnsi" w:hAnsiTheme="minorHAnsi" w:cstheme="minorHAnsi"/>
          <w:bCs/>
          <w:sz w:val="22"/>
          <w:szCs w:val="22"/>
          <w:lang w:val="en-GB"/>
        </w:rPr>
        <w:t>Interest</w:t>
      </w:r>
      <w:r w:rsidR="002759A0" w:rsidRPr="002759A0">
        <w:rPr>
          <w:rFonts w:asciiTheme="minorHAnsi" w:hAnsiTheme="minorHAnsi" w:cstheme="minorHAnsi"/>
          <w:bCs/>
          <w:sz w:val="22"/>
          <w:szCs w:val="22"/>
          <w:lang w:val="en-GB"/>
        </w:rPr>
        <w:t xml:space="preserve"> governance criteria described in section </w:t>
      </w:r>
      <w:r w:rsidR="002759A0" w:rsidRPr="002759A0">
        <w:rPr>
          <w:rStyle w:val="normaltextrun"/>
          <w:rFonts w:asciiTheme="minorHAnsi" w:hAnsiTheme="minorHAnsi" w:cstheme="minorHAnsi"/>
          <w:i/>
          <w:color w:val="000000"/>
          <w:sz w:val="22"/>
          <w:szCs w:val="22"/>
        </w:rPr>
        <w:fldChar w:fldCharType="begin"/>
      </w:r>
      <w:r w:rsidR="002759A0" w:rsidRPr="002759A0">
        <w:rPr>
          <w:rStyle w:val="normaltextrun"/>
          <w:rFonts w:asciiTheme="minorHAnsi" w:hAnsiTheme="minorHAnsi" w:cstheme="minorHAnsi"/>
          <w:i/>
          <w:color w:val="000000"/>
          <w:sz w:val="22"/>
          <w:szCs w:val="22"/>
        </w:rPr>
        <w:instrText xml:space="preserve"> REF _Ref58234110 \r \h  \* MERGEFORMAT </w:instrText>
      </w:r>
      <w:r w:rsidR="002759A0" w:rsidRPr="002759A0">
        <w:rPr>
          <w:rStyle w:val="normaltextrun"/>
          <w:rFonts w:asciiTheme="minorHAnsi" w:hAnsiTheme="minorHAnsi" w:cstheme="minorHAnsi"/>
          <w:i/>
          <w:color w:val="000000"/>
          <w:sz w:val="22"/>
          <w:szCs w:val="22"/>
        </w:rPr>
      </w:r>
      <w:r w:rsidR="002759A0" w:rsidRPr="002759A0">
        <w:rPr>
          <w:rStyle w:val="normaltextrun"/>
          <w:rFonts w:asciiTheme="minorHAnsi" w:hAnsiTheme="minorHAnsi" w:cstheme="minorHAnsi"/>
          <w:i/>
          <w:color w:val="000000"/>
          <w:sz w:val="22"/>
          <w:szCs w:val="22"/>
        </w:rPr>
        <w:fldChar w:fldCharType="separate"/>
      </w:r>
      <w:r w:rsidR="002759A0" w:rsidRPr="002759A0">
        <w:rPr>
          <w:rStyle w:val="normaltextrun"/>
          <w:rFonts w:asciiTheme="minorHAnsi" w:hAnsiTheme="minorHAnsi" w:cstheme="minorHAnsi"/>
          <w:i/>
          <w:color w:val="000000"/>
          <w:sz w:val="22"/>
          <w:szCs w:val="22"/>
        </w:rPr>
        <w:t>3.2.2</w:t>
      </w:r>
      <w:r w:rsidR="002759A0" w:rsidRPr="002759A0">
        <w:rPr>
          <w:rStyle w:val="normaltextrun"/>
          <w:rFonts w:asciiTheme="minorHAnsi" w:hAnsiTheme="minorHAnsi" w:cstheme="minorHAnsi"/>
          <w:i/>
          <w:color w:val="000000"/>
          <w:sz w:val="22"/>
          <w:szCs w:val="22"/>
        </w:rPr>
        <w:fldChar w:fldCharType="end"/>
      </w:r>
      <w:r w:rsidR="002759A0" w:rsidRPr="002759A0">
        <w:rPr>
          <w:rStyle w:val="normaltextrun"/>
          <w:rFonts w:asciiTheme="minorHAnsi" w:hAnsiTheme="minorHAnsi" w:cstheme="minorHAnsi"/>
          <w:i/>
          <w:iCs/>
          <w:color w:val="000000"/>
          <w:sz w:val="22"/>
          <w:szCs w:val="22"/>
        </w:rPr>
        <w:t xml:space="preserve"> </w:t>
      </w:r>
      <w:bookmarkStart w:id="583" w:name="_Hlt60932671"/>
      <w:bookmarkStart w:id="584" w:name="_Hlt60932672"/>
      <w:r w:rsidR="002759A0" w:rsidRPr="002759A0">
        <w:rPr>
          <w:rStyle w:val="normaltextrun"/>
          <w:rFonts w:asciiTheme="minorHAnsi" w:hAnsiTheme="minorHAnsi" w:cstheme="minorHAnsi"/>
          <w:i/>
          <w:color w:val="000000"/>
          <w:sz w:val="22"/>
          <w:szCs w:val="22"/>
        </w:rPr>
        <w:fldChar w:fldCharType="begin"/>
      </w:r>
      <w:r w:rsidR="002759A0" w:rsidRPr="002759A0">
        <w:rPr>
          <w:rStyle w:val="normaltextrun"/>
          <w:rFonts w:asciiTheme="minorHAnsi" w:hAnsiTheme="minorHAnsi" w:cstheme="minorHAnsi"/>
          <w:i/>
          <w:color w:val="000000"/>
          <w:sz w:val="22"/>
          <w:szCs w:val="22"/>
        </w:rPr>
        <w:instrText xml:space="preserve"> REF _Ref58234123 \h  \* MERGEFORMAT </w:instrText>
      </w:r>
      <w:r w:rsidR="002759A0" w:rsidRPr="002759A0">
        <w:rPr>
          <w:rStyle w:val="normaltextrun"/>
          <w:rFonts w:asciiTheme="minorHAnsi" w:hAnsiTheme="minorHAnsi" w:cstheme="minorHAnsi"/>
          <w:i/>
          <w:color w:val="000000"/>
          <w:sz w:val="22"/>
          <w:szCs w:val="22"/>
        </w:rPr>
      </w:r>
      <w:r w:rsidR="002759A0" w:rsidRPr="002759A0">
        <w:rPr>
          <w:rStyle w:val="normaltextrun"/>
          <w:rFonts w:asciiTheme="minorHAnsi" w:hAnsiTheme="minorHAnsi" w:cstheme="minorHAnsi"/>
          <w:i/>
          <w:color w:val="000000"/>
          <w:sz w:val="22"/>
          <w:szCs w:val="22"/>
        </w:rPr>
        <w:fldChar w:fldCharType="separate"/>
      </w:r>
      <w:r w:rsidR="002759A0" w:rsidRPr="002759A0">
        <w:rPr>
          <w:rFonts w:asciiTheme="minorHAnsi" w:hAnsiTheme="minorHAnsi" w:cstheme="minorHAnsi"/>
          <w:i/>
          <w:iCs/>
          <w:sz w:val="22"/>
          <w:szCs w:val="22"/>
        </w:rPr>
        <w:t>UPI Governance Criteria</w:t>
      </w:r>
      <w:r w:rsidR="002759A0" w:rsidRPr="002759A0">
        <w:rPr>
          <w:rStyle w:val="normaltextrun"/>
          <w:rFonts w:asciiTheme="minorHAnsi" w:hAnsiTheme="minorHAnsi" w:cstheme="minorHAnsi"/>
          <w:i/>
          <w:color w:val="000000"/>
          <w:sz w:val="22"/>
          <w:szCs w:val="22"/>
        </w:rPr>
        <w:fldChar w:fldCharType="end"/>
      </w:r>
      <w:bookmarkEnd w:id="583"/>
      <w:bookmarkEnd w:id="584"/>
      <w:r w:rsidR="001C1BE7">
        <w:rPr>
          <w:rStyle w:val="normaltextrun"/>
          <w:rFonts w:asciiTheme="minorHAnsi" w:hAnsiTheme="minorHAnsi" w:cstheme="minorHAnsi"/>
          <w:i/>
          <w:color w:val="000000"/>
          <w:sz w:val="22"/>
          <w:szCs w:val="22"/>
        </w:rPr>
        <w:t>,</w:t>
      </w:r>
      <w:r>
        <w:rPr>
          <w:rFonts w:asciiTheme="minorHAnsi" w:hAnsiTheme="minorHAnsi" w:cstheme="minorHAnsi"/>
          <w:bCs/>
          <w:sz w:val="22"/>
          <w:szCs w:val="22"/>
          <w:lang w:val="en-GB"/>
        </w:rPr>
        <w:t xml:space="preserve"> the DSB expects a user that takes both services to pay a fee equivalent to the sum of the fees of both individual services, with no additional discounts</w:t>
      </w:r>
      <w:r w:rsidR="004E468B">
        <w:rPr>
          <w:rFonts w:asciiTheme="minorHAnsi" w:hAnsiTheme="minorHAnsi" w:cstheme="minorHAnsi"/>
          <w:bCs/>
          <w:sz w:val="22"/>
          <w:szCs w:val="22"/>
          <w:lang w:val="en-GB"/>
        </w:rPr>
        <w:t xml:space="preserve"> or bundling</w:t>
      </w:r>
      <w:r>
        <w:rPr>
          <w:rFonts w:asciiTheme="minorHAnsi" w:hAnsiTheme="minorHAnsi" w:cstheme="minorHAnsi"/>
          <w:bCs/>
          <w:sz w:val="22"/>
          <w:szCs w:val="22"/>
          <w:lang w:val="en-GB"/>
        </w:rPr>
        <w:t xml:space="preserve">. The rationale for no </w:t>
      </w:r>
      <w:r w:rsidR="0030513B">
        <w:rPr>
          <w:rFonts w:asciiTheme="minorHAnsi" w:hAnsiTheme="minorHAnsi" w:cstheme="minorHAnsi"/>
          <w:bCs/>
          <w:sz w:val="22"/>
          <w:szCs w:val="22"/>
          <w:lang w:val="en-GB"/>
        </w:rPr>
        <w:t xml:space="preserve">further </w:t>
      </w:r>
      <w:r>
        <w:rPr>
          <w:rFonts w:asciiTheme="minorHAnsi" w:hAnsiTheme="minorHAnsi" w:cstheme="minorHAnsi"/>
          <w:bCs/>
          <w:sz w:val="22"/>
          <w:szCs w:val="22"/>
          <w:lang w:val="en-GB"/>
        </w:rPr>
        <w:t xml:space="preserve">discount being provided is that all synergies will already be accounted for by the proposed </w:t>
      </w:r>
      <w:r w:rsidR="0093337D">
        <w:rPr>
          <w:rFonts w:asciiTheme="minorHAnsi" w:hAnsiTheme="minorHAnsi" w:cstheme="minorHAnsi"/>
          <w:bCs/>
          <w:sz w:val="22"/>
          <w:szCs w:val="22"/>
          <w:lang w:val="en-GB"/>
        </w:rPr>
        <w:t xml:space="preserve">shared </w:t>
      </w:r>
      <w:r>
        <w:rPr>
          <w:rFonts w:asciiTheme="minorHAnsi" w:hAnsiTheme="minorHAnsi" w:cstheme="minorHAnsi"/>
          <w:bCs/>
          <w:sz w:val="22"/>
          <w:szCs w:val="22"/>
          <w:lang w:val="en-GB"/>
        </w:rPr>
        <w:t>cost allocation policies</w:t>
      </w:r>
      <w:r w:rsidR="00F42DDD">
        <w:rPr>
          <w:rFonts w:asciiTheme="minorHAnsi" w:hAnsiTheme="minorHAnsi" w:cstheme="minorHAnsi"/>
          <w:bCs/>
          <w:sz w:val="22"/>
          <w:szCs w:val="22"/>
          <w:lang w:val="en-GB"/>
        </w:rPr>
        <w:t xml:space="preserve"> </w:t>
      </w:r>
      <w:r w:rsidR="00EF692B">
        <w:rPr>
          <w:rFonts w:asciiTheme="minorHAnsi" w:hAnsiTheme="minorHAnsi" w:cstheme="minorHAnsi"/>
          <w:bCs/>
          <w:sz w:val="22"/>
          <w:szCs w:val="22"/>
          <w:lang w:val="en-GB"/>
        </w:rPr>
        <w:t>ensuring</w:t>
      </w:r>
      <w:r w:rsidR="004E468B">
        <w:rPr>
          <w:rFonts w:asciiTheme="minorHAnsi" w:hAnsiTheme="minorHAnsi" w:cstheme="minorHAnsi"/>
          <w:bCs/>
          <w:sz w:val="22"/>
          <w:szCs w:val="22"/>
          <w:lang w:val="en-GB"/>
        </w:rPr>
        <w:t xml:space="preserve"> fair </w:t>
      </w:r>
      <w:r w:rsidR="00EF692B">
        <w:rPr>
          <w:rFonts w:asciiTheme="minorHAnsi" w:hAnsiTheme="minorHAnsi" w:cstheme="minorHAnsi"/>
          <w:bCs/>
          <w:sz w:val="22"/>
          <w:szCs w:val="22"/>
          <w:lang w:val="en-GB"/>
        </w:rPr>
        <w:t>allocation of costs across services</w:t>
      </w:r>
      <w:r>
        <w:rPr>
          <w:rFonts w:asciiTheme="minorHAnsi" w:hAnsiTheme="minorHAnsi" w:cstheme="minorHAnsi"/>
          <w:bCs/>
          <w:sz w:val="22"/>
          <w:szCs w:val="22"/>
          <w:lang w:val="en-GB"/>
        </w:rPr>
        <w:t>.</w:t>
      </w:r>
    </w:p>
    <w:p w14:paraId="0C6EAD5F" w14:textId="1E3A88B1" w:rsidR="00185AC3" w:rsidRPr="008E271F" w:rsidRDefault="00185AC3" w:rsidP="008E271F">
      <w:pPr>
        <w:spacing w:after="360" w:line="276" w:lineRule="auto"/>
        <w:jc w:val="both"/>
      </w:pPr>
      <w:r w:rsidRPr="008E271F">
        <w:rPr>
          <w:rFonts w:cstheme="minorHAnsi"/>
        </w:rPr>
        <w:t xml:space="preserve">The DSB is mindful of the Cost governance criteria </w:t>
      </w:r>
      <w:r w:rsidRPr="008E271F">
        <w:rPr>
          <w:rStyle w:val="normaltextrun"/>
          <w:rFonts w:ascii="Calibri" w:hAnsi="Calibri" w:cs="Calibri"/>
          <w:color w:val="000000"/>
        </w:rPr>
        <w:t xml:space="preserve">described in section </w:t>
      </w:r>
      <w:r w:rsidRPr="008E271F">
        <w:rPr>
          <w:rStyle w:val="normaltextrun"/>
          <w:rFonts w:ascii="Calibri" w:hAnsi="Calibri" w:cs="Calibri"/>
          <w:i/>
          <w:color w:val="000000"/>
        </w:rPr>
        <w:fldChar w:fldCharType="begin"/>
      </w:r>
      <w:r w:rsidRPr="008E271F">
        <w:rPr>
          <w:rStyle w:val="normaltextrun"/>
          <w:rFonts w:ascii="Calibri" w:hAnsi="Calibri" w:cs="Calibri"/>
          <w:i/>
          <w:color w:val="000000"/>
        </w:rPr>
        <w:instrText xml:space="preserve"> REF _Ref58234110 \r \h  \* MERGEFORMAT </w:instrText>
      </w:r>
      <w:r w:rsidRPr="008E271F">
        <w:rPr>
          <w:rStyle w:val="normaltextrun"/>
          <w:rFonts w:ascii="Calibri" w:hAnsi="Calibri" w:cs="Calibri"/>
          <w:i/>
          <w:color w:val="000000"/>
        </w:rPr>
      </w:r>
      <w:r w:rsidRPr="008E271F">
        <w:rPr>
          <w:rStyle w:val="normaltextrun"/>
          <w:rFonts w:ascii="Calibri" w:hAnsi="Calibri" w:cs="Calibri"/>
          <w:i/>
          <w:color w:val="000000"/>
        </w:rPr>
        <w:fldChar w:fldCharType="separate"/>
      </w:r>
      <w:r w:rsidRPr="008E271F">
        <w:rPr>
          <w:rStyle w:val="normaltextrun"/>
          <w:rFonts w:ascii="Calibri" w:hAnsi="Calibri" w:cs="Calibri"/>
          <w:i/>
          <w:color w:val="000000"/>
        </w:rPr>
        <w:t>3.2.2</w:t>
      </w:r>
      <w:r w:rsidRPr="008E271F">
        <w:rPr>
          <w:rStyle w:val="normaltextrun"/>
          <w:rFonts w:ascii="Calibri" w:hAnsi="Calibri" w:cs="Calibri"/>
          <w:i/>
          <w:color w:val="000000"/>
        </w:rPr>
        <w:fldChar w:fldCharType="end"/>
      </w:r>
      <w:r w:rsidRPr="008E271F">
        <w:rPr>
          <w:rStyle w:val="normaltextrun"/>
          <w:rFonts w:ascii="Calibri" w:hAnsi="Calibri" w:cs="Calibri"/>
          <w:i/>
          <w:iCs/>
          <w:color w:val="000000"/>
        </w:rPr>
        <w:t xml:space="preserve"> </w:t>
      </w:r>
      <w:r w:rsidRPr="008E271F">
        <w:rPr>
          <w:rStyle w:val="normaltextrun"/>
          <w:rFonts w:ascii="Calibri" w:hAnsi="Calibri" w:cs="Calibri"/>
          <w:i/>
          <w:color w:val="000000"/>
        </w:rPr>
        <w:fldChar w:fldCharType="begin"/>
      </w:r>
      <w:r w:rsidRPr="008E271F">
        <w:rPr>
          <w:rStyle w:val="normaltextrun"/>
          <w:rFonts w:ascii="Calibri" w:hAnsi="Calibri" w:cs="Calibri"/>
          <w:i/>
          <w:color w:val="000000"/>
        </w:rPr>
        <w:instrText xml:space="preserve"> REF _Ref58234123 \h  \* MERGEFORMAT </w:instrText>
      </w:r>
      <w:r w:rsidRPr="008E271F">
        <w:rPr>
          <w:rStyle w:val="normaltextrun"/>
          <w:rFonts w:ascii="Calibri" w:hAnsi="Calibri" w:cs="Calibri"/>
          <w:i/>
          <w:color w:val="000000"/>
        </w:rPr>
      </w:r>
      <w:r w:rsidRPr="008E271F">
        <w:rPr>
          <w:rStyle w:val="normaltextrun"/>
          <w:rFonts w:ascii="Calibri" w:hAnsi="Calibri" w:cs="Calibri"/>
          <w:i/>
          <w:color w:val="000000"/>
        </w:rPr>
        <w:fldChar w:fldCharType="separate"/>
      </w:r>
      <w:r w:rsidRPr="008E271F">
        <w:rPr>
          <w:i/>
          <w:iCs/>
        </w:rPr>
        <w:t>UPI Governance Criteria</w:t>
      </w:r>
      <w:r w:rsidRPr="008E271F">
        <w:rPr>
          <w:rStyle w:val="normaltextrun"/>
          <w:rFonts w:ascii="Calibri" w:hAnsi="Calibri" w:cs="Calibri"/>
          <w:i/>
          <w:color w:val="000000"/>
        </w:rPr>
        <w:fldChar w:fldCharType="end"/>
      </w:r>
      <w:r w:rsidRPr="008E271F">
        <w:rPr>
          <w:rStyle w:val="normaltextrun"/>
          <w:rFonts w:ascii="Calibri" w:hAnsi="Calibri" w:cs="Calibri"/>
          <w:i/>
          <w:color w:val="000000"/>
        </w:rPr>
        <w:t xml:space="preserve"> </w:t>
      </w:r>
      <w:r w:rsidRPr="008E271F">
        <w:rPr>
          <w:rFonts w:cstheme="minorHAnsi"/>
        </w:rPr>
        <w:t>and the need to ensure costs are allocated among stakeholders fairly. The DSB proposal aims to avoid an</w:t>
      </w:r>
      <w:r w:rsidRPr="008E271F">
        <w:rPr>
          <w:rStyle w:val="normaltextrun"/>
          <w:rFonts w:ascii="Calibri" w:hAnsi="Calibri" w:cs="Calibri"/>
          <w:color w:val="000000"/>
        </w:rPr>
        <w:t xml:space="preserve"> increased cost being incurred by a smaller number of users in the initial jurisdictions that go live with the UPI.</w:t>
      </w:r>
      <w:r w:rsidRPr="008E271F">
        <w:rPr>
          <w:rFonts w:cstheme="minorHAnsi"/>
        </w:rPr>
        <w:t xml:space="preserve"> Postponing the decision on the cost allocation policy also allows industry feedback to occur after the UPI service is live and therefore any feedback can be informed by actual data such as operating costs and number of users</w:t>
      </w:r>
      <w:r w:rsidRPr="008E271F">
        <w:rPr>
          <w:rFonts w:cstheme="minorHAnsi"/>
          <w:bCs/>
        </w:rPr>
        <w:t>.</w:t>
      </w:r>
    </w:p>
    <w:p w14:paraId="33C4C782" w14:textId="77777777" w:rsidR="008F4C25" w:rsidRDefault="008F4C25">
      <w:pPr>
        <w:rPr>
          <w:rFonts w:asciiTheme="majorHAnsi" w:eastAsiaTheme="majorEastAsia" w:hAnsiTheme="majorHAnsi" w:cstheme="majorBidi"/>
          <w:color w:val="2E74B5" w:themeColor="accent1" w:themeShade="BF"/>
          <w:sz w:val="26"/>
          <w:szCs w:val="26"/>
        </w:rPr>
      </w:pPr>
      <w:bookmarkStart w:id="585" w:name="_Toc60651792"/>
      <w:r>
        <w:br w:type="page"/>
      </w:r>
    </w:p>
    <w:p w14:paraId="0CFDCED6" w14:textId="4F487B5E" w:rsidR="00185AC3" w:rsidRDefault="008F4C25" w:rsidP="0048715D">
      <w:pPr>
        <w:pStyle w:val="Heading2"/>
        <w:spacing w:before="0" w:line="276" w:lineRule="auto"/>
      </w:pPr>
      <w:bookmarkStart w:id="586" w:name="_Toc61255934"/>
      <w:r>
        <w:rPr>
          <w:noProof/>
          <w:lang w:eastAsia="en-GB"/>
        </w:rPr>
        <w:lastRenderedPageBreak/>
        <mc:AlternateContent>
          <mc:Choice Requires="wps">
            <w:drawing>
              <wp:anchor distT="45720" distB="45720" distL="114300" distR="114300" simplePos="0" relativeHeight="251654656" behindDoc="1" locked="0" layoutInCell="1" allowOverlap="1" wp14:anchorId="767F09DD" wp14:editId="270462A9">
                <wp:simplePos x="0" y="0"/>
                <wp:positionH relativeFrom="margin">
                  <wp:posOffset>-12589</wp:posOffset>
                </wp:positionH>
                <wp:positionV relativeFrom="paragraph">
                  <wp:posOffset>289449</wp:posOffset>
                </wp:positionV>
                <wp:extent cx="5716905" cy="2698750"/>
                <wp:effectExtent l="0" t="0" r="17145" b="25400"/>
                <wp:wrapTight wrapText="bothSides">
                  <wp:wrapPolygon edited="0">
                    <wp:start x="0" y="0"/>
                    <wp:lineTo x="0" y="21651"/>
                    <wp:lineTo x="21593" y="21651"/>
                    <wp:lineTo x="2159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98750"/>
                        </a:xfrm>
                        <a:prstGeom prst="rect">
                          <a:avLst/>
                        </a:prstGeom>
                        <a:solidFill>
                          <a:srgbClr val="FFFFFF"/>
                        </a:solidFill>
                        <a:ln w="9525">
                          <a:solidFill>
                            <a:srgbClr val="04AEB9"/>
                          </a:solidFill>
                          <a:miter lim="800000"/>
                          <a:headEnd/>
                          <a:tailEnd/>
                        </a:ln>
                      </wps:spPr>
                      <wps:txbx>
                        <w:txbxContent>
                          <w:p w14:paraId="66DC47DE" w14:textId="77777777" w:rsidR="00185AC3" w:rsidRDefault="00185AC3" w:rsidP="00185AC3">
                            <w:pPr>
                              <w:rPr>
                                <w:rStyle w:val="normaltextrun"/>
                                <w:rFonts w:ascii="Calibri" w:hAnsi="Calibri" w:cs="Calibri"/>
                                <w:color w:val="000000"/>
                              </w:rPr>
                            </w:pPr>
                            <w:r>
                              <w:rPr>
                                <w:rStyle w:val="normaltextrun"/>
                                <w:rFonts w:ascii="Calibri" w:hAnsi="Calibri" w:cs="Calibri"/>
                                <w:b/>
                                <w:bCs/>
                                <w:color w:val="000000"/>
                              </w:rPr>
                              <w:t>Summary:</w:t>
                            </w:r>
                            <w:r w:rsidDel="0019300D">
                              <w:rPr>
                                <w:rStyle w:val="normaltextrun"/>
                                <w:rFonts w:ascii="Calibri" w:hAnsi="Calibri" w:cs="Calibri"/>
                                <w:b/>
                                <w:color w:val="000000"/>
                              </w:rPr>
                              <w:t xml:space="preserve"> </w:t>
                            </w:r>
                            <w:proofErr w:type="gramStart"/>
                            <w:r>
                              <w:rPr>
                                <w:rStyle w:val="normaltextrun"/>
                                <w:rFonts w:ascii="Calibri" w:hAnsi="Calibri" w:cs="Calibri"/>
                                <w:color w:val="000000"/>
                              </w:rPr>
                              <w:t>In order to</w:t>
                            </w:r>
                            <w:proofErr w:type="gramEnd"/>
                            <w:r>
                              <w:rPr>
                                <w:rStyle w:val="normaltextrun"/>
                                <w:rFonts w:ascii="Calibri" w:hAnsi="Calibri" w:cs="Calibri"/>
                                <w:color w:val="000000"/>
                              </w:rPr>
                              <w:t xml:space="preserve"> provide clarity on the commitments and responsibilities of UPI users and the DSB to each other, the DSB expects all UPI creators and API users to sign a common User Agreement. Based on feedback from the DSB’s existing user base, the DSB believes the most appropriate period for the UPI User Agreement is the Gregorian calendar year. </w:t>
                            </w:r>
                          </w:p>
                          <w:p w14:paraId="2BBDEFEF" w14:textId="6622940A" w:rsidR="00185AC3" w:rsidRPr="006F6406" w:rsidRDefault="00185AC3" w:rsidP="00185AC3">
                            <w:pPr>
                              <w:rPr>
                                <w:rStyle w:val="normaltextrun"/>
                                <w:rFonts w:ascii="Calibri" w:hAnsi="Calibri" w:cs="Calibri"/>
                                <w:color w:val="000000"/>
                              </w:rPr>
                            </w:pPr>
                            <w:r>
                              <w:rPr>
                                <w:rStyle w:val="normaltextrun"/>
                                <w:rFonts w:ascii="Calibri" w:hAnsi="Calibri" w:cs="Calibri"/>
                                <w:color w:val="000000"/>
                              </w:rPr>
                              <w:t xml:space="preserve">The DSB anticipates launching its production UPI service at the end of June 2022. Given the intra-year start to the service, the DSB proposes that the duration of the first User Agreement to be shorter than the standard 12 months in subsequent years, </w:t>
                            </w:r>
                            <w:proofErr w:type="gramStart"/>
                            <w:r>
                              <w:rPr>
                                <w:rStyle w:val="normaltextrun"/>
                                <w:rFonts w:ascii="Calibri" w:hAnsi="Calibri" w:cs="Calibri"/>
                                <w:color w:val="000000"/>
                              </w:rPr>
                              <w:t>in order to</w:t>
                            </w:r>
                            <w:proofErr w:type="gramEnd"/>
                            <w:r>
                              <w:rPr>
                                <w:rStyle w:val="normaltextrun"/>
                                <w:rFonts w:ascii="Calibri" w:hAnsi="Calibri" w:cs="Calibri"/>
                                <w:color w:val="000000"/>
                              </w:rPr>
                              <w:t xml:space="preserve"> align all subsequent User Agreements with the Gregorian calendar year.</w:t>
                            </w:r>
                            <w:r w:rsidR="00A85E0F">
                              <w:rPr>
                                <w:rStyle w:val="normaltextrun"/>
                                <w:rFonts w:ascii="Calibri" w:hAnsi="Calibri" w:cs="Calibri"/>
                                <w:color w:val="000000"/>
                              </w:rPr>
                              <w:t xml:space="preserve"> This will result in a proportional reduction in the initial fee to compensate for the shorter duration.</w:t>
                            </w:r>
                          </w:p>
                          <w:p w14:paraId="30AA66F6" w14:textId="77777777" w:rsidR="00185AC3" w:rsidRDefault="00185AC3" w:rsidP="00185AC3">
                            <w:pPr>
                              <w:rPr>
                                <w:rStyle w:val="normaltextrun"/>
                                <w:rFonts w:ascii="Calibri" w:hAnsi="Calibri" w:cs="Calibri"/>
                                <w:b/>
                                <w:i/>
                                <w:color w:val="000000"/>
                              </w:rPr>
                            </w:pPr>
                            <w:r>
                              <w:rPr>
                                <w:rStyle w:val="normaltextrun"/>
                                <w:rFonts w:ascii="Calibri" w:hAnsi="Calibri" w:cs="Calibri"/>
                                <w:b/>
                                <w:bCs/>
                                <w:color w:val="000000"/>
                              </w:rPr>
                              <w:t>Question 6:</w:t>
                            </w:r>
                            <w:r w:rsidDel="007A6ACA">
                              <w:rPr>
                                <w:rStyle w:val="normaltextrun"/>
                                <w:rFonts w:ascii="Calibri" w:hAnsi="Calibri" w:cs="Calibri"/>
                                <w:b/>
                                <w:color w:val="000000"/>
                              </w:rPr>
                              <w:t xml:space="preserve"> </w:t>
                            </w:r>
                            <w:r w:rsidRPr="00E63BBE">
                              <w:rPr>
                                <w:rStyle w:val="normaltextrun"/>
                                <w:rFonts w:ascii="Calibri" w:hAnsi="Calibri" w:cs="Calibri"/>
                                <w:b/>
                                <w:i/>
                                <w:color w:val="000000"/>
                              </w:rPr>
                              <w:t>Do you agree with the DSB’s proposal for a short duration User Agreement for UPI users in 2022 that ends on 31 December 2022, followed by annual contracts that cover a full Gregorian calendar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F09DD" id="_x0000_s1032" type="#_x0000_t202" style="position:absolute;left:0;text-align:left;margin-left:-1pt;margin-top:22.8pt;width:450.15pt;height:21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" strokecolor="#04aeb9">
                <v:textbox>
                  <w:txbxContent>
                    <w:p w14:paraId="66DC47DE" w14:textId="77777777" w:rsidR="00185AC3" w:rsidRDefault="00185AC3" w:rsidP="00185AC3">
                      <w:pPr>
                        <w:rPr>
                          <w:rStyle w:val="normaltextrun"/>
                          <w:rFonts w:ascii="Calibri" w:hAnsi="Calibri" w:cs="Calibri"/>
                          <w:color w:val="000000"/>
                        </w:rPr>
                      </w:pPr>
                      <w:r>
                        <w:rPr>
                          <w:rStyle w:val="normaltextrun"/>
                          <w:rFonts w:ascii="Calibri" w:hAnsi="Calibri" w:cs="Calibri"/>
                          <w:b/>
                          <w:bCs/>
                          <w:color w:val="000000"/>
                        </w:rPr>
                        <w:t>Summary:</w:t>
                      </w:r>
                      <w:r w:rsidDel="0019300D">
                        <w:rPr>
                          <w:rStyle w:val="normaltextrun"/>
                          <w:rFonts w:ascii="Calibri" w:hAnsi="Calibri" w:cs="Calibri"/>
                          <w:b/>
                          <w:color w:val="000000"/>
                        </w:rPr>
                        <w:t xml:space="preserve"> </w:t>
                      </w:r>
                      <w:proofErr w:type="gramStart"/>
                      <w:r>
                        <w:rPr>
                          <w:rStyle w:val="normaltextrun"/>
                          <w:rFonts w:ascii="Calibri" w:hAnsi="Calibri" w:cs="Calibri"/>
                          <w:color w:val="000000"/>
                        </w:rPr>
                        <w:t>In order to</w:t>
                      </w:r>
                      <w:proofErr w:type="gramEnd"/>
                      <w:r>
                        <w:rPr>
                          <w:rStyle w:val="normaltextrun"/>
                          <w:rFonts w:ascii="Calibri" w:hAnsi="Calibri" w:cs="Calibri"/>
                          <w:color w:val="000000"/>
                        </w:rPr>
                        <w:t xml:space="preserve"> provide clarity on the commitments and responsibilities of UPI users and the DSB to each other, the DSB expects all UPI creators and API users to sign a common User Agreement. Based on feedback from the DSB’s existing user base, the DSB believes the most appropriate period for the UPI User Agreement is the Gregorian calendar year. </w:t>
                      </w:r>
                    </w:p>
                    <w:p w14:paraId="2BBDEFEF" w14:textId="6622940A" w:rsidR="00185AC3" w:rsidRPr="006F6406" w:rsidRDefault="00185AC3" w:rsidP="00185AC3">
                      <w:pPr>
                        <w:rPr>
                          <w:rStyle w:val="normaltextrun"/>
                          <w:rFonts w:ascii="Calibri" w:hAnsi="Calibri" w:cs="Calibri"/>
                          <w:color w:val="000000"/>
                        </w:rPr>
                      </w:pPr>
                      <w:r>
                        <w:rPr>
                          <w:rStyle w:val="normaltextrun"/>
                          <w:rFonts w:ascii="Calibri" w:hAnsi="Calibri" w:cs="Calibri"/>
                          <w:color w:val="000000"/>
                        </w:rPr>
                        <w:t xml:space="preserve">The DSB anticipates launching its production UPI service at the end of June 2022. Given the intra-year start to the service, the DSB proposes that the duration of the first User Agreement to be shorter than the standard 12 months in subsequent years, </w:t>
                      </w:r>
                      <w:proofErr w:type="gramStart"/>
                      <w:r>
                        <w:rPr>
                          <w:rStyle w:val="normaltextrun"/>
                          <w:rFonts w:ascii="Calibri" w:hAnsi="Calibri" w:cs="Calibri"/>
                          <w:color w:val="000000"/>
                        </w:rPr>
                        <w:t>in order to</w:t>
                      </w:r>
                      <w:proofErr w:type="gramEnd"/>
                      <w:r>
                        <w:rPr>
                          <w:rStyle w:val="normaltextrun"/>
                          <w:rFonts w:ascii="Calibri" w:hAnsi="Calibri" w:cs="Calibri"/>
                          <w:color w:val="000000"/>
                        </w:rPr>
                        <w:t xml:space="preserve"> align all subsequent User Agreements with the Gregorian calendar year.</w:t>
                      </w:r>
                      <w:r w:rsidR="00A85E0F">
                        <w:rPr>
                          <w:rStyle w:val="normaltextrun"/>
                          <w:rFonts w:ascii="Calibri" w:hAnsi="Calibri" w:cs="Calibri"/>
                          <w:color w:val="000000"/>
                        </w:rPr>
                        <w:t xml:space="preserve"> This will result in a proportional reduction in the initial fee to compensate for the shorter duration.</w:t>
                      </w:r>
                    </w:p>
                    <w:p w14:paraId="30AA66F6" w14:textId="77777777" w:rsidR="00185AC3" w:rsidRDefault="00185AC3" w:rsidP="00185AC3">
                      <w:pPr>
                        <w:rPr>
                          <w:rStyle w:val="normaltextrun"/>
                          <w:rFonts w:ascii="Calibri" w:hAnsi="Calibri" w:cs="Calibri"/>
                          <w:b/>
                          <w:i/>
                          <w:color w:val="000000"/>
                        </w:rPr>
                      </w:pPr>
                      <w:r>
                        <w:rPr>
                          <w:rStyle w:val="normaltextrun"/>
                          <w:rFonts w:ascii="Calibri" w:hAnsi="Calibri" w:cs="Calibri"/>
                          <w:b/>
                          <w:bCs/>
                          <w:color w:val="000000"/>
                        </w:rPr>
                        <w:t>Question 6:</w:t>
                      </w:r>
                      <w:r w:rsidDel="007A6ACA">
                        <w:rPr>
                          <w:rStyle w:val="normaltextrun"/>
                          <w:rFonts w:ascii="Calibri" w:hAnsi="Calibri" w:cs="Calibri"/>
                          <w:b/>
                          <w:color w:val="000000"/>
                        </w:rPr>
                        <w:t xml:space="preserve"> </w:t>
                      </w:r>
                      <w:r w:rsidRPr="00E63BBE">
                        <w:rPr>
                          <w:rStyle w:val="normaltextrun"/>
                          <w:rFonts w:ascii="Calibri" w:hAnsi="Calibri" w:cs="Calibri"/>
                          <w:b/>
                          <w:i/>
                          <w:color w:val="000000"/>
                        </w:rPr>
                        <w:t>Do you agree with the DSB’s proposal for a short duration User Agreement for UPI users in 2022 that ends on 31 December 2022, followed by annual contracts that cover a full Gregorian calendar year?</w:t>
                      </w:r>
                    </w:p>
                  </w:txbxContent>
                </v:textbox>
                <w10:wrap type="tight" anchorx="margin"/>
              </v:shape>
            </w:pict>
          </mc:Fallback>
        </mc:AlternateContent>
      </w:r>
      <w:r w:rsidR="00185AC3">
        <w:t>Q6 – Duration of UPI User Agreement</w:t>
      </w:r>
      <w:bookmarkEnd w:id="585"/>
      <w:bookmarkEnd w:id="586"/>
      <w:r w:rsidR="00185AC3">
        <w:t xml:space="preserve">  </w:t>
      </w:r>
    </w:p>
    <w:p w14:paraId="7FF4997E" w14:textId="2F7D12B4" w:rsidR="00185AC3" w:rsidRPr="008E271F" w:rsidRDefault="00185AC3" w:rsidP="003F6833">
      <w:pPr>
        <w:spacing w:line="276" w:lineRule="auto"/>
        <w:jc w:val="both"/>
        <w:rPr>
          <w:u w:val="single"/>
        </w:rPr>
      </w:pPr>
      <w:r w:rsidRPr="008E271F">
        <w:rPr>
          <w:u w:val="single"/>
        </w:rPr>
        <w:t>Supporting Information:</w:t>
      </w:r>
    </w:p>
    <w:p w14:paraId="65B167FD" w14:textId="31EC7EB4" w:rsidR="00185AC3" w:rsidRPr="008E271F" w:rsidRDefault="00185AC3" w:rsidP="003F6833">
      <w:pPr>
        <w:spacing w:line="276" w:lineRule="auto"/>
        <w:rPr>
          <w:rStyle w:val="normaltextrun"/>
          <w:rFonts w:ascii="Calibri" w:hAnsi="Calibri" w:cs="Calibri"/>
          <w:color w:val="000000"/>
        </w:rPr>
      </w:pPr>
      <w:r w:rsidRPr="008E271F">
        <w:rPr>
          <w:rStyle w:val="normaltextrun"/>
          <w:rFonts w:ascii="Calibri" w:hAnsi="Calibri" w:cs="Calibri"/>
          <w:color w:val="000000"/>
        </w:rPr>
        <w:t>As part of on-boarding users onto the UPI platform, the DSB expects all UPI creators and API users</w:t>
      </w:r>
      <w:r w:rsidRPr="008E271F">
        <w:rPr>
          <w:rStyle w:val="FootnoteReference"/>
          <w:rFonts w:ascii="Calibri" w:hAnsi="Calibri" w:cs="Calibri"/>
          <w:color w:val="000000"/>
        </w:rPr>
        <w:footnoteReference w:id="46"/>
      </w:r>
      <w:r w:rsidRPr="008E271F">
        <w:rPr>
          <w:rStyle w:val="normaltextrun"/>
          <w:rFonts w:ascii="Calibri" w:hAnsi="Calibri" w:cs="Calibri"/>
          <w:color w:val="000000"/>
        </w:rPr>
        <w:t xml:space="preserve"> to sign a standard User Agreement (UA) with the DSB that is applicable to all such users of the service. This UA will provide clarity on the commitments and responsibilities of UPI users and the DSB to each other, for a defined </w:t>
      </w:r>
      <w:proofErr w:type="gramStart"/>
      <w:r w:rsidRPr="008E271F">
        <w:rPr>
          <w:rStyle w:val="normaltextrun"/>
          <w:rFonts w:ascii="Calibri" w:hAnsi="Calibri" w:cs="Calibri"/>
          <w:color w:val="000000"/>
        </w:rPr>
        <w:t>period of time</w:t>
      </w:r>
      <w:proofErr w:type="gramEnd"/>
      <w:r w:rsidRPr="008E271F">
        <w:rPr>
          <w:rStyle w:val="normaltextrun"/>
          <w:rFonts w:ascii="Calibri" w:hAnsi="Calibri" w:cs="Calibri"/>
          <w:color w:val="000000"/>
        </w:rPr>
        <w:t xml:space="preserve">. </w:t>
      </w:r>
    </w:p>
    <w:p w14:paraId="61EF406E" w14:textId="0435CF11" w:rsidR="00185AC3" w:rsidRPr="008E271F" w:rsidRDefault="00185AC3" w:rsidP="003F6833">
      <w:pPr>
        <w:spacing w:line="276" w:lineRule="auto"/>
        <w:rPr>
          <w:rStyle w:val="normaltextrun"/>
          <w:rFonts w:ascii="Calibri" w:hAnsi="Calibri" w:cs="Calibri"/>
          <w:color w:val="000000"/>
        </w:rPr>
      </w:pPr>
      <w:r w:rsidRPr="008E271F">
        <w:rPr>
          <w:rStyle w:val="normaltextrun"/>
          <w:rFonts w:ascii="Calibri" w:hAnsi="Calibri" w:cs="Calibri"/>
          <w:color w:val="000000"/>
        </w:rPr>
        <w:t>This approach allows the DSB to ensure that at any given point in time, the DSB will treat all UPI users in the same manner, based on a UA that is common to all UPI users.</w:t>
      </w:r>
    </w:p>
    <w:p w14:paraId="3287AEE7" w14:textId="1C4BD9C8" w:rsidR="00185AC3" w:rsidRPr="008E271F" w:rsidRDefault="00185AC3" w:rsidP="003F6833">
      <w:pPr>
        <w:spacing w:line="276" w:lineRule="auto"/>
        <w:rPr>
          <w:rStyle w:val="normaltextrun"/>
          <w:rFonts w:ascii="Calibri" w:hAnsi="Calibri" w:cs="Calibri"/>
          <w:color w:val="000000"/>
        </w:rPr>
      </w:pPr>
      <w:r w:rsidRPr="008E271F">
        <w:rPr>
          <w:rStyle w:val="normaltextrun"/>
          <w:rFonts w:ascii="Calibri" w:hAnsi="Calibri" w:cs="Calibri"/>
          <w:color w:val="000000"/>
        </w:rPr>
        <w:t xml:space="preserve">Feedback from the DSB’s existing user base has been that the Gregorian calendar year is the most appropriate period for any UA, as this aligns best with many organisations’ budgeting period. The DSB notes that the DSB’s accounts are also audited based on the Gregorian calendar year. The alignment of the UA period with the DSB’s accounting period is necessary to allow the approach </w:t>
      </w:r>
      <w:r w:rsidRPr="00387457">
        <w:rPr>
          <w:rStyle w:val="normaltextrun"/>
          <w:rFonts w:ascii="Calibri" w:hAnsi="Calibri" w:cs="Calibri"/>
          <w:color w:val="000000"/>
        </w:rPr>
        <w:t>proposed in</w:t>
      </w:r>
      <w:r w:rsidRPr="008E271F">
        <w:rPr>
          <w:rStyle w:val="normaltextrun"/>
          <w:rFonts w:ascii="Calibri" w:hAnsi="Calibri" w:cs="Calibri"/>
          <w:color w:val="000000"/>
        </w:rPr>
        <w:t xml:space="preserve"> </w:t>
      </w:r>
      <w:r w:rsidR="00044990">
        <w:rPr>
          <w:rStyle w:val="normaltextrun"/>
          <w:rFonts w:ascii="Calibri" w:hAnsi="Calibri" w:cs="Calibri"/>
          <w:color w:val="000000"/>
        </w:rPr>
        <w:t>section</w:t>
      </w:r>
      <w:r w:rsidR="00A400C6">
        <w:rPr>
          <w:rStyle w:val="normaltextrun"/>
          <w:rFonts w:ascii="Calibri" w:hAnsi="Calibri" w:cs="Calibri"/>
          <w:color w:val="000000"/>
        </w:rPr>
        <w:t xml:space="preserve"> </w:t>
      </w:r>
      <w:r w:rsidR="00A400C6">
        <w:rPr>
          <w:rStyle w:val="normaltextrun"/>
          <w:rFonts w:ascii="Calibri" w:hAnsi="Calibri" w:cs="Calibri"/>
          <w:color w:val="000000"/>
        </w:rPr>
        <w:fldChar w:fldCharType="begin"/>
      </w:r>
      <w:r w:rsidR="00A400C6">
        <w:rPr>
          <w:rStyle w:val="normaltextrun"/>
          <w:rFonts w:ascii="Calibri" w:hAnsi="Calibri" w:cs="Calibri"/>
          <w:color w:val="000000"/>
        </w:rPr>
        <w:instrText xml:space="preserve"> REF _Ref60844405 \r \h </w:instrText>
      </w:r>
      <w:r w:rsidR="00A400C6">
        <w:rPr>
          <w:rStyle w:val="normaltextrun"/>
          <w:rFonts w:ascii="Calibri" w:hAnsi="Calibri" w:cs="Calibri"/>
          <w:color w:val="000000"/>
        </w:rPr>
      </w:r>
      <w:r w:rsidR="00A400C6">
        <w:rPr>
          <w:rStyle w:val="normaltextrun"/>
          <w:rFonts w:ascii="Calibri" w:hAnsi="Calibri" w:cs="Calibri"/>
          <w:color w:val="000000"/>
        </w:rPr>
        <w:fldChar w:fldCharType="separate"/>
      </w:r>
      <w:r w:rsidR="00A400C6">
        <w:rPr>
          <w:rStyle w:val="normaltextrun"/>
          <w:rFonts w:ascii="Calibri" w:hAnsi="Calibri" w:cs="Calibri"/>
          <w:color w:val="000000"/>
        </w:rPr>
        <w:t>5.7</w:t>
      </w:r>
      <w:r w:rsidR="00A400C6">
        <w:rPr>
          <w:rStyle w:val="normaltextrun"/>
          <w:rFonts w:ascii="Calibri" w:hAnsi="Calibri" w:cs="Calibri"/>
          <w:color w:val="000000"/>
        </w:rPr>
        <w:fldChar w:fldCharType="end"/>
      </w:r>
      <w:r w:rsidR="00EE6FCF">
        <w:rPr>
          <w:rStyle w:val="normaltextrun"/>
          <w:rFonts w:ascii="Calibri" w:hAnsi="Calibri" w:cs="Calibri"/>
          <w:color w:val="000000"/>
        </w:rPr>
        <w:t xml:space="preserve"> </w:t>
      </w:r>
      <w:r w:rsidR="00EE6FCF" w:rsidRPr="00EE6FCF">
        <w:rPr>
          <w:rStyle w:val="normaltextrun"/>
          <w:rFonts w:ascii="Calibri" w:hAnsi="Calibri" w:cs="Calibri"/>
          <w:i/>
          <w:iCs/>
          <w:color w:val="000000"/>
        </w:rPr>
        <w:fldChar w:fldCharType="begin"/>
      </w:r>
      <w:r w:rsidR="00EE6FCF" w:rsidRPr="00EE6FCF">
        <w:rPr>
          <w:rStyle w:val="normaltextrun"/>
          <w:rFonts w:ascii="Calibri" w:hAnsi="Calibri" w:cs="Calibri"/>
          <w:i/>
          <w:iCs/>
          <w:color w:val="000000"/>
        </w:rPr>
        <w:instrText xml:space="preserve"> REF _Ref60844414 \h </w:instrText>
      </w:r>
      <w:r w:rsidR="00EE6FCF">
        <w:rPr>
          <w:rStyle w:val="normaltextrun"/>
          <w:rFonts w:ascii="Calibri" w:hAnsi="Calibri" w:cs="Calibri"/>
          <w:i/>
          <w:iCs/>
          <w:color w:val="000000"/>
        </w:rPr>
        <w:instrText xml:space="preserve"> \* MERGEFORMAT </w:instrText>
      </w:r>
      <w:r w:rsidR="00EE6FCF" w:rsidRPr="00EE6FCF">
        <w:rPr>
          <w:rStyle w:val="normaltextrun"/>
          <w:rFonts w:ascii="Calibri" w:hAnsi="Calibri" w:cs="Calibri"/>
          <w:i/>
          <w:iCs/>
          <w:color w:val="000000"/>
        </w:rPr>
      </w:r>
      <w:r w:rsidR="00EE6FCF" w:rsidRPr="00EE6FCF">
        <w:rPr>
          <w:rStyle w:val="normaltextrun"/>
          <w:rFonts w:ascii="Calibri" w:hAnsi="Calibri" w:cs="Calibri"/>
          <w:i/>
          <w:iCs/>
          <w:color w:val="000000"/>
        </w:rPr>
        <w:fldChar w:fldCharType="separate"/>
      </w:r>
      <w:r w:rsidR="00EE6FCF" w:rsidRPr="00EE6FCF">
        <w:rPr>
          <w:i/>
          <w:iCs/>
        </w:rPr>
        <w:t>Q7 – Invoicing Approach</w:t>
      </w:r>
      <w:r w:rsidR="00EE6FCF" w:rsidRPr="00EE6FCF">
        <w:rPr>
          <w:rStyle w:val="normaltextrun"/>
          <w:rFonts w:ascii="Calibri" w:hAnsi="Calibri" w:cs="Calibri"/>
          <w:i/>
          <w:iCs/>
          <w:color w:val="000000"/>
        </w:rPr>
        <w:fldChar w:fldCharType="end"/>
      </w:r>
      <w:r w:rsidRPr="008E271F">
        <w:rPr>
          <w:rStyle w:val="normaltextrun"/>
          <w:rFonts w:ascii="Calibri" w:hAnsi="Calibri" w:cs="Calibri"/>
          <w:color w:val="000000"/>
        </w:rPr>
        <w:fldChar w:fldCharType="begin"/>
      </w:r>
      <w:r w:rsidRPr="008E271F">
        <w:rPr>
          <w:rStyle w:val="normaltextrun"/>
          <w:rFonts w:ascii="Calibri" w:hAnsi="Calibri" w:cs="Calibri"/>
          <w:color w:val="000000"/>
        </w:rPr>
        <w:instrText xml:space="preserve"> REF _Ref57558166 \h  \* MERGEFORMAT </w:instrText>
      </w:r>
      <w:r w:rsidRPr="008E271F">
        <w:rPr>
          <w:rStyle w:val="normaltextrun"/>
          <w:rFonts w:ascii="Calibri" w:hAnsi="Calibri" w:cs="Calibri"/>
          <w:color w:val="000000"/>
        </w:rPr>
      </w:r>
      <w:r w:rsidRPr="008E271F">
        <w:rPr>
          <w:rStyle w:val="normaltextrun"/>
          <w:rFonts w:ascii="Calibri" w:hAnsi="Calibri" w:cs="Calibri"/>
          <w:color w:val="000000"/>
        </w:rPr>
        <w:fldChar w:fldCharType="end"/>
      </w:r>
      <w:r w:rsidRPr="008E271F">
        <w:rPr>
          <w:rStyle w:val="normaltextrun"/>
          <w:rFonts w:ascii="Calibri" w:hAnsi="Calibri" w:cs="Calibri"/>
          <w:color w:val="000000"/>
        </w:rPr>
        <w:t>.</w:t>
      </w:r>
    </w:p>
    <w:p w14:paraId="1A4D9FD3" w14:textId="3527B49B" w:rsidR="00185AC3" w:rsidRPr="008E271F" w:rsidRDefault="00185AC3" w:rsidP="003F6833">
      <w:pPr>
        <w:spacing w:line="276" w:lineRule="auto"/>
        <w:jc w:val="both"/>
        <w:rPr>
          <w:u w:val="single"/>
        </w:rPr>
      </w:pPr>
      <w:r w:rsidRPr="008E271F">
        <w:rPr>
          <w:rStyle w:val="normaltextrun"/>
          <w:rFonts w:ascii="Calibri" w:hAnsi="Calibri" w:cs="Calibri"/>
          <w:color w:val="000000"/>
        </w:rPr>
        <w:t xml:space="preserve">The DSB anticipates launching its production UPI service at the end of June 2022 </w:t>
      </w:r>
      <w:proofErr w:type="gramStart"/>
      <w:r w:rsidRPr="008E271F">
        <w:rPr>
          <w:rStyle w:val="normaltextrun"/>
          <w:rFonts w:ascii="Calibri" w:hAnsi="Calibri" w:cs="Calibri"/>
          <w:color w:val="000000"/>
        </w:rPr>
        <w:t>in order to</w:t>
      </w:r>
      <w:proofErr w:type="gramEnd"/>
      <w:r w:rsidRPr="008E271F">
        <w:rPr>
          <w:rStyle w:val="normaltextrun"/>
          <w:rFonts w:ascii="Calibri" w:hAnsi="Calibri" w:cs="Calibri"/>
          <w:color w:val="000000"/>
        </w:rPr>
        <w:t xml:space="preserve"> support the FSB’s recommendation that implementation of the UPI takes effect no later than Q3 of</w:t>
      </w:r>
      <w:r w:rsidRPr="008E271F">
        <w:rPr>
          <w:u w:val="single"/>
        </w:rPr>
        <w:t xml:space="preserve"> 2022</w:t>
      </w:r>
      <w:r w:rsidRPr="008E271F">
        <w:rPr>
          <w:rStyle w:val="FootnoteReference"/>
          <w:u w:val="single"/>
        </w:rPr>
        <w:footnoteReference w:id="47"/>
      </w:r>
    </w:p>
    <w:p w14:paraId="2EF91534" w14:textId="73C6B0B9" w:rsidR="00185AC3" w:rsidRPr="008E271F" w:rsidRDefault="00185AC3" w:rsidP="003F6833">
      <w:pPr>
        <w:spacing w:line="276" w:lineRule="auto"/>
        <w:rPr>
          <w:rStyle w:val="normaltextrun"/>
          <w:rFonts w:ascii="Calibri" w:hAnsi="Calibri" w:cs="Calibri"/>
          <w:color w:val="000000"/>
        </w:rPr>
      </w:pPr>
      <w:r w:rsidRPr="008E271F">
        <w:rPr>
          <w:rStyle w:val="normaltextrun"/>
          <w:rFonts w:ascii="Calibri" w:hAnsi="Calibri" w:cs="Calibri"/>
          <w:color w:val="000000"/>
        </w:rPr>
        <w:t xml:space="preserve">The DSB considers the governance criteria of Lean, Cost and Economic Sustainability described in section </w:t>
      </w:r>
      <w:r w:rsidRPr="008E271F">
        <w:rPr>
          <w:rStyle w:val="normaltextrun"/>
          <w:rFonts w:ascii="Calibri" w:hAnsi="Calibri" w:cs="Calibri"/>
          <w:color w:val="000000"/>
        </w:rPr>
        <w:fldChar w:fldCharType="begin"/>
      </w:r>
      <w:r w:rsidRPr="008E271F">
        <w:rPr>
          <w:rStyle w:val="normaltextrun"/>
          <w:rFonts w:ascii="Calibri" w:hAnsi="Calibri" w:cs="Calibri"/>
          <w:color w:val="000000"/>
        </w:rPr>
        <w:instrText xml:space="preserve"> REF _Ref58234110 \r \h  \* MERGEFORMAT </w:instrText>
      </w:r>
      <w:r w:rsidRPr="008E271F">
        <w:rPr>
          <w:rStyle w:val="normaltextrun"/>
          <w:rFonts w:ascii="Calibri" w:hAnsi="Calibri" w:cs="Calibri"/>
          <w:color w:val="000000"/>
        </w:rPr>
      </w:r>
      <w:r w:rsidRPr="008E271F">
        <w:rPr>
          <w:rStyle w:val="normaltextrun"/>
          <w:rFonts w:ascii="Calibri" w:hAnsi="Calibri" w:cs="Calibri"/>
          <w:color w:val="000000"/>
        </w:rPr>
        <w:fldChar w:fldCharType="separate"/>
      </w:r>
      <w:r w:rsidRPr="008E271F">
        <w:rPr>
          <w:rStyle w:val="normaltextrun"/>
          <w:rFonts w:ascii="Calibri" w:hAnsi="Calibri" w:cs="Calibri"/>
          <w:color w:val="000000"/>
        </w:rPr>
        <w:t>3.2.2</w:t>
      </w:r>
      <w:r w:rsidRPr="008E271F">
        <w:rPr>
          <w:rStyle w:val="normaltextrun"/>
          <w:rFonts w:ascii="Calibri" w:hAnsi="Calibri" w:cs="Calibri"/>
          <w:color w:val="000000"/>
        </w:rPr>
        <w:fldChar w:fldCharType="end"/>
      </w:r>
      <w:r w:rsidRPr="008E271F">
        <w:rPr>
          <w:rStyle w:val="normaltextrun"/>
          <w:rFonts w:ascii="Calibri" w:hAnsi="Calibri" w:cs="Calibri"/>
          <w:i/>
          <w:iCs/>
          <w:color w:val="000000"/>
        </w:rPr>
        <w:t xml:space="preserve"> </w:t>
      </w:r>
      <w:r w:rsidRPr="008E271F">
        <w:rPr>
          <w:rStyle w:val="normaltextrun"/>
          <w:rFonts w:ascii="Calibri" w:hAnsi="Calibri" w:cs="Calibri"/>
          <w:i/>
          <w:iCs/>
          <w:color w:val="000000"/>
        </w:rPr>
        <w:fldChar w:fldCharType="begin"/>
      </w:r>
      <w:r w:rsidRPr="008E271F">
        <w:rPr>
          <w:rStyle w:val="normaltextrun"/>
          <w:rFonts w:ascii="Calibri" w:hAnsi="Calibri" w:cs="Calibri"/>
          <w:i/>
          <w:iCs/>
          <w:color w:val="000000"/>
        </w:rPr>
        <w:instrText xml:space="preserve"> REF _Ref58234110 \h  \* MERGEFORMAT </w:instrText>
      </w:r>
      <w:r w:rsidRPr="008E271F">
        <w:rPr>
          <w:rStyle w:val="normaltextrun"/>
          <w:rFonts w:ascii="Calibri" w:hAnsi="Calibri" w:cs="Calibri"/>
          <w:i/>
          <w:iCs/>
          <w:color w:val="000000"/>
        </w:rPr>
      </w:r>
      <w:r w:rsidRPr="008E271F">
        <w:rPr>
          <w:rStyle w:val="normaltextrun"/>
          <w:rFonts w:ascii="Calibri" w:hAnsi="Calibri" w:cs="Calibri"/>
          <w:i/>
          <w:iCs/>
          <w:color w:val="000000"/>
        </w:rPr>
        <w:fldChar w:fldCharType="separate"/>
      </w:r>
      <w:r w:rsidRPr="008E271F">
        <w:rPr>
          <w:i/>
          <w:iCs/>
        </w:rPr>
        <w:t>UPI Governance Criteria</w:t>
      </w:r>
      <w:r w:rsidRPr="008E271F">
        <w:rPr>
          <w:rStyle w:val="normaltextrun"/>
          <w:rFonts w:ascii="Calibri" w:hAnsi="Calibri" w:cs="Calibri"/>
          <w:i/>
          <w:iCs/>
          <w:color w:val="000000"/>
        </w:rPr>
        <w:fldChar w:fldCharType="end"/>
      </w:r>
      <w:r w:rsidRPr="008E271F">
        <w:rPr>
          <w:rStyle w:val="normaltextrun"/>
          <w:rFonts w:ascii="Calibri" w:hAnsi="Calibri" w:cs="Calibri"/>
          <w:color w:val="000000"/>
        </w:rPr>
        <w:t xml:space="preserve"> as being relevant given the need to minimise complexity, ensure fair allocation of cost among stakeholders, as well as alignment with the invoicing approach to ensure financial viability over time.</w:t>
      </w:r>
    </w:p>
    <w:p w14:paraId="24AF4488" w14:textId="64A8CF19" w:rsidR="00185AC3" w:rsidRPr="008E271F" w:rsidRDefault="00185AC3" w:rsidP="0048715D">
      <w:pPr>
        <w:pStyle w:val="NormalWeb"/>
        <w:shd w:val="clear" w:color="auto" w:fill="FFFFFF" w:themeFill="background1"/>
        <w:spacing w:before="0" w:beforeAutospacing="0" w:after="120" w:afterAutospacing="0" w:line="276" w:lineRule="auto"/>
        <w:textAlignment w:val="baseline"/>
        <w:rPr>
          <w:rStyle w:val="normaltextrun"/>
          <w:rFonts w:asciiTheme="minorHAnsi" w:hAnsiTheme="minorHAnsi" w:cstheme="minorHAnsi"/>
          <w:bCs/>
          <w:sz w:val="22"/>
          <w:szCs w:val="22"/>
          <w:u w:val="single"/>
        </w:rPr>
      </w:pPr>
      <w:r w:rsidRPr="008E271F">
        <w:rPr>
          <w:rStyle w:val="normaltextrun"/>
          <w:rFonts w:asciiTheme="minorHAnsi" w:hAnsiTheme="minorHAnsi" w:cstheme="minorHAnsi"/>
          <w:b/>
          <w:sz w:val="22"/>
          <w:szCs w:val="22"/>
          <w:u w:val="single"/>
        </w:rPr>
        <w:t>DSB Proposal:</w:t>
      </w:r>
      <w:r w:rsidRPr="008E271F">
        <w:rPr>
          <w:rStyle w:val="normaltextrun"/>
          <w:rFonts w:asciiTheme="minorHAnsi" w:hAnsiTheme="minorHAnsi" w:cstheme="minorHAnsi"/>
          <w:bCs/>
          <w:sz w:val="22"/>
          <w:szCs w:val="22"/>
          <w:u w:val="single"/>
        </w:rPr>
        <w:t xml:space="preserve"> </w:t>
      </w:r>
    </w:p>
    <w:p w14:paraId="72E4EAAC" w14:textId="00ED6B39" w:rsidR="00185AC3" w:rsidRPr="008E271F" w:rsidRDefault="00185AC3" w:rsidP="003F6833">
      <w:pPr>
        <w:spacing w:line="276" w:lineRule="auto"/>
        <w:rPr>
          <w:rStyle w:val="normaltextrun"/>
          <w:rFonts w:ascii="Calibri" w:hAnsi="Calibri" w:cs="Calibri"/>
          <w:color w:val="000000"/>
        </w:rPr>
      </w:pPr>
      <w:r w:rsidRPr="008E271F">
        <w:rPr>
          <w:rStyle w:val="normaltextrun"/>
          <w:rFonts w:ascii="Calibri" w:hAnsi="Calibri" w:cs="Calibri"/>
          <w:color w:val="000000"/>
        </w:rPr>
        <w:t xml:space="preserve">The DSB proposes to align the UA period with the Gregorian calendar. Given the intra-year start to the service, the DSB proposes that the duration of the first UA to be shorter than the standard 12 months, </w:t>
      </w:r>
      <w:proofErr w:type="gramStart"/>
      <w:r w:rsidRPr="008E271F">
        <w:rPr>
          <w:rStyle w:val="normaltextrun"/>
          <w:rFonts w:ascii="Calibri" w:hAnsi="Calibri" w:cs="Calibri"/>
          <w:color w:val="000000"/>
        </w:rPr>
        <w:t>in order to</w:t>
      </w:r>
      <w:proofErr w:type="gramEnd"/>
      <w:r w:rsidRPr="008E271F">
        <w:rPr>
          <w:rStyle w:val="normaltextrun"/>
          <w:rFonts w:ascii="Calibri" w:hAnsi="Calibri" w:cs="Calibri"/>
          <w:color w:val="000000"/>
        </w:rPr>
        <w:t xml:space="preserve"> align all subsequent UAs with the Gregorian calendar year. </w:t>
      </w:r>
      <w:r w:rsidR="00377D16">
        <w:rPr>
          <w:rStyle w:val="normaltextrun"/>
          <w:rFonts w:ascii="Calibri" w:hAnsi="Calibri" w:cs="Calibri"/>
          <w:color w:val="000000"/>
        </w:rPr>
        <w:t xml:space="preserve">This will result in a proportional reduction in the initial fee to compensate for the shorter duration. </w:t>
      </w:r>
      <w:r w:rsidRPr="008E271F">
        <w:rPr>
          <w:rStyle w:val="normaltextrun"/>
          <w:rFonts w:ascii="Calibri" w:hAnsi="Calibri" w:cs="Calibri"/>
          <w:color w:val="000000"/>
        </w:rPr>
        <w:t xml:space="preserve">Users who wish to </w:t>
      </w:r>
      <w:r w:rsidRPr="008E271F">
        <w:rPr>
          <w:rStyle w:val="normaltextrun"/>
          <w:rFonts w:ascii="Calibri" w:hAnsi="Calibri" w:cs="Calibri"/>
          <w:color w:val="000000"/>
        </w:rPr>
        <w:lastRenderedPageBreak/>
        <w:t>continue to utilise UPI services at the end of the initial UA period will roll into a renewal period of a full Gregorian calendar year.</w:t>
      </w:r>
    </w:p>
    <w:p w14:paraId="530BBD72" w14:textId="77777777" w:rsidR="00185AC3" w:rsidRPr="008E271F" w:rsidRDefault="00185AC3" w:rsidP="003F6833">
      <w:pPr>
        <w:spacing w:line="276" w:lineRule="auto"/>
        <w:jc w:val="both"/>
        <w:rPr>
          <w:u w:val="single"/>
        </w:rPr>
      </w:pPr>
      <w:r w:rsidRPr="008E271F">
        <w:rPr>
          <w:u w:val="single"/>
        </w:rPr>
        <w:t>Alternative Options</w:t>
      </w:r>
    </w:p>
    <w:p w14:paraId="046FAD16" w14:textId="77777777" w:rsidR="00185AC3" w:rsidRPr="008E271F" w:rsidRDefault="00185AC3" w:rsidP="003F6833">
      <w:pPr>
        <w:spacing w:line="276" w:lineRule="auto"/>
        <w:jc w:val="both"/>
      </w:pPr>
      <w:r w:rsidRPr="008E271F">
        <w:t>The DSB also considered the following alternatives:</w:t>
      </w:r>
    </w:p>
    <w:p w14:paraId="4B4FE355" w14:textId="77777777" w:rsidR="00185AC3" w:rsidRPr="008E271F" w:rsidRDefault="00185AC3" w:rsidP="0048715D">
      <w:pPr>
        <w:pStyle w:val="ListParagraph"/>
        <w:numPr>
          <w:ilvl w:val="0"/>
          <w:numId w:val="10"/>
        </w:numPr>
        <w:spacing w:after="120" w:line="276" w:lineRule="auto"/>
        <w:contextualSpacing w:val="0"/>
        <w:jc w:val="both"/>
      </w:pPr>
      <w:r w:rsidRPr="008E271F">
        <w:rPr>
          <w:b/>
          <w:bCs/>
        </w:rPr>
        <w:t>Whether the UA needs to have a fixed duration</w:t>
      </w:r>
      <w:r w:rsidRPr="008E271F">
        <w:t xml:space="preserve">: The DSB considered the option of a UA not having any defined duration and instead being applicable only to a specific request to create a UPI. This alternative option is a similar model to that used for the LEI, where users do not need to sign up for a defined period </w:t>
      </w:r>
      <w:proofErr w:type="gramStart"/>
      <w:r w:rsidRPr="008E271F">
        <w:t>in order to</w:t>
      </w:r>
      <w:proofErr w:type="gramEnd"/>
      <w:r w:rsidRPr="008E271F">
        <w:t xml:space="preserve"> register or maintain an LEI. Instead, the terms of the LEI service are linked to the specific request to create / maintain an LEI.</w:t>
      </w:r>
    </w:p>
    <w:p w14:paraId="52D11283" w14:textId="77777777" w:rsidR="00185AC3" w:rsidRPr="008E271F" w:rsidRDefault="00185AC3" w:rsidP="0087769A">
      <w:pPr>
        <w:pStyle w:val="ListParagraph"/>
        <w:spacing w:after="120" w:line="276" w:lineRule="auto"/>
        <w:jc w:val="both"/>
      </w:pPr>
      <w:r w:rsidRPr="008E271F">
        <w:t xml:space="preserve">The DSB discounted this option because the DSB expects </w:t>
      </w:r>
      <w:proofErr w:type="gramStart"/>
      <w:r w:rsidRPr="008E271F">
        <w:t>a large number of</w:t>
      </w:r>
      <w:proofErr w:type="gramEnd"/>
      <w:r w:rsidRPr="008E271F">
        <w:t xml:space="preserve"> users to access the UPI service multiple times a day, every day. This </w:t>
      </w:r>
      <w:proofErr w:type="gramStart"/>
      <w:r w:rsidRPr="008E271F">
        <w:t>is in contrast to</w:t>
      </w:r>
      <w:proofErr w:type="gramEnd"/>
      <w:r w:rsidRPr="008E271F">
        <w:t xml:space="preserve"> the LEI where the number of interactions with the user is much more limited.</w:t>
      </w:r>
    </w:p>
    <w:p w14:paraId="39C0153D" w14:textId="77777777" w:rsidR="00185AC3" w:rsidRPr="008E271F" w:rsidRDefault="00185AC3" w:rsidP="0087769A">
      <w:pPr>
        <w:pStyle w:val="ListParagraph"/>
        <w:spacing w:after="120" w:line="276" w:lineRule="auto"/>
        <w:jc w:val="both"/>
      </w:pPr>
      <w:r w:rsidRPr="008E271F">
        <w:t xml:space="preserve">Based on feedback from its user base, the DSB expects a single UA that covers a fixed </w:t>
      </w:r>
      <w:proofErr w:type="gramStart"/>
      <w:r w:rsidRPr="008E271F">
        <w:t>time period</w:t>
      </w:r>
      <w:proofErr w:type="gramEnd"/>
      <w:r w:rsidRPr="008E271F">
        <w:t xml:space="preserve"> to provide a much more efficient contractual framework for UPI users.</w:t>
      </w:r>
    </w:p>
    <w:p w14:paraId="18FBA359" w14:textId="77777777" w:rsidR="00185AC3" w:rsidRPr="008E271F" w:rsidRDefault="00185AC3" w:rsidP="00641886">
      <w:pPr>
        <w:pStyle w:val="ListParagraph"/>
        <w:spacing w:line="276" w:lineRule="auto"/>
        <w:jc w:val="both"/>
      </w:pPr>
    </w:p>
    <w:p w14:paraId="08B64D2D" w14:textId="77777777" w:rsidR="00185AC3" w:rsidRPr="008E271F" w:rsidRDefault="00185AC3" w:rsidP="000518A5">
      <w:pPr>
        <w:pStyle w:val="ListParagraph"/>
        <w:numPr>
          <w:ilvl w:val="0"/>
          <w:numId w:val="10"/>
        </w:numPr>
        <w:spacing w:line="276" w:lineRule="auto"/>
        <w:jc w:val="both"/>
        <w:rPr>
          <w:b/>
        </w:rPr>
      </w:pPr>
      <w:r w:rsidRPr="008E271F">
        <w:rPr>
          <w:b/>
          <w:bCs/>
        </w:rPr>
        <w:t xml:space="preserve">Whether the UA duration should be shorter / longer than a calendar year: </w:t>
      </w:r>
      <w:r w:rsidRPr="008E271F">
        <w:t>Feedback from the DSB’s existing user base suggests that most users have annual budget cycles and that an annual UA period will best complement users’ existing administrative processes.</w:t>
      </w:r>
    </w:p>
    <w:p w14:paraId="54BB6188" w14:textId="77777777" w:rsidR="00185AC3" w:rsidRPr="008E271F" w:rsidDel="006161B4" w:rsidRDefault="00185AC3" w:rsidP="000518A5">
      <w:pPr>
        <w:pStyle w:val="ListParagraph"/>
        <w:spacing w:line="276" w:lineRule="auto"/>
        <w:jc w:val="both"/>
        <w:rPr>
          <w:b/>
        </w:rPr>
      </w:pPr>
    </w:p>
    <w:p w14:paraId="3399825D" w14:textId="77777777" w:rsidR="00185AC3" w:rsidRPr="008E271F" w:rsidRDefault="00185AC3" w:rsidP="000518A5">
      <w:pPr>
        <w:pStyle w:val="ListParagraph"/>
        <w:numPr>
          <w:ilvl w:val="0"/>
          <w:numId w:val="10"/>
        </w:numPr>
        <w:spacing w:line="276" w:lineRule="auto"/>
        <w:jc w:val="both"/>
        <w:rPr>
          <w:b/>
        </w:rPr>
      </w:pPr>
      <w:r w:rsidRPr="008E271F">
        <w:rPr>
          <w:b/>
          <w:bCs/>
        </w:rPr>
        <w:t>Whether the UA should cover 12 months from the date of signature</w:t>
      </w:r>
      <w:r w:rsidRPr="008E271F">
        <w:t>: This option would result in different users’ contracts ending at different times. However, the DSB’s cost recovery fee model is based on the</w:t>
      </w:r>
      <w:r w:rsidRPr="008E271F" w:rsidDel="005A1BA3">
        <w:t xml:space="preserve"> </w:t>
      </w:r>
      <w:r w:rsidRPr="008E271F">
        <w:t>Gregorian calendar that aligns with its accounting period. This alignment allows the DSB to link the fees to be charged to a single accounting period, which reduces the complexity of auditing of the cost recovery ring-fence and calculation of number of users for the cost-recovery period. The DSB is not proposing to progress this option due to these identified challenges.</w:t>
      </w:r>
    </w:p>
    <w:p w14:paraId="232AE91A" w14:textId="77777777" w:rsidR="00185AC3" w:rsidRPr="008E271F" w:rsidRDefault="00185AC3" w:rsidP="000518A5">
      <w:pPr>
        <w:pStyle w:val="ListParagraph"/>
        <w:spacing w:line="276" w:lineRule="auto"/>
        <w:rPr>
          <w:b/>
        </w:rPr>
      </w:pPr>
    </w:p>
    <w:p w14:paraId="403D5094" w14:textId="77777777" w:rsidR="00185AC3" w:rsidRDefault="00185AC3" w:rsidP="000518A5">
      <w:pPr>
        <w:pStyle w:val="Heading2"/>
        <w:spacing w:before="0" w:line="276" w:lineRule="auto"/>
      </w:pPr>
      <w:bookmarkStart w:id="587" w:name="_Ref57558166"/>
      <w:bookmarkStart w:id="588" w:name="_Toc60651793"/>
      <w:bookmarkStart w:id="589" w:name="_Ref60844405"/>
      <w:bookmarkStart w:id="590" w:name="_Ref60844414"/>
      <w:bookmarkStart w:id="591" w:name="_Toc61255935"/>
      <w:r>
        <w:rPr>
          <w:noProof/>
          <w:lang w:eastAsia="en-GB"/>
        </w:rPr>
        <mc:AlternateContent>
          <mc:Choice Requires="wps">
            <w:drawing>
              <wp:anchor distT="45720" distB="45720" distL="114300" distR="114300" simplePos="0" relativeHeight="251659776" behindDoc="0" locked="0" layoutInCell="1" allowOverlap="1" wp14:anchorId="5BC91A66" wp14:editId="4D06ADB2">
                <wp:simplePos x="0" y="0"/>
                <wp:positionH relativeFrom="margin">
                  <wp:posOffset>207645</wp:posOffset>
                </wp:positionH>
                <wp:positionV relativeFrom="paragraph">
                  <wp:posOffset>266700</wp:posOffset>
                </wp:positionV>
                <wp:extent cx="5716905" cy="1964055"/>
                <wp:effectExtent l="0" t="0" r="17145"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964055"/>
                        </a:xfrm>
                        <a:prstGeom prst="rect">
                          <a:avLst/>
                        </a:prstGeom>
                        <a:solidFill>
                          <a:srgbClr val="FFFFFF"/>
                        </a:solidFill>
                        <a:ln w="9525">
                          <a:solidFill>
                            <a:srgbClr val="04AEB9"/>
                          </a:solidFill>
                          <a:miter lim="800000"/>
                          <a:headEnd/>
                          <a:tailEnd/>
                        </a:ln>
                      </wps:spPr>
                      <wps:txbx>
                        <w:txbxContent>
                          <w:p w14:paraId="143CBB9E" w14:textId="77777777" w:rsidR="00185AC3" w:rsidRDefault="00185AC3" w:rsidP="00185AC3">
                            <w:pPr>
                              <w:rPr>
                                <w:rStyle w:val="normaltextrun"/>
                                <w:rFonts w:ascii="Calibri" w:hAnsi="Calibri" w:cs="Calibri"/>
                                <w:color w:val="000000"/>
                              </w:rPr>
                            </w:pPr>
                            <w:r>
                              <w:rPr>
                                <w:rStyle w:val="normaltextrun"/>
                                <w:rFonts w:ascii="Calibri" w:hAnsi="Calibri" w:cs="Calibri"/>
                                <w:b/>
                                <w:bCs/>
                                <w:color w:val="000000"/>
                              </w:rPr>
                              <w:t>Summary:</w:t>
                            </w:r>
                            <w:r w:rsidDel="00570E91">
                              <w:rPr>
                                <w:rStyle w:val="normaltextrun"/>
                                <w:rFonts w:ascii="Calibri" w:hAnsi="Calibri" w:cs="Calibri"/>
                                <w:b/>
                                <w:color w:val="000000"/>
                              </w:rPr>
                              <w:t xml:space="preserve"> </w:t>
                            </w:r>
                            <w:proofErr w:type="gramStart"/>
                            <w:r>
                              <w:rPr>
                                <w:rStyle w:val="normaltextrun"/>
                                <w:rFonts w:ascii="Calibri" w:hAnsi="Calibri" w:cs="Calibri"/>
                                <w:color w:val="000000"/>
                              </w:rPr>
                              <w:t>In order to</w:t>
                            </w:r>
                            <w:proofErr w:type="gramEnd"/>
                            <w:r>
                              <w:rPr>
                                <w:rStyle w:val="normaltextrun"/>
                                <w:rFonts w:ascii="Calibri" w:hAnsi="Calibri" w:cs="Calibri"/>
                                <w:color w:val="000000"/>
                              </w:rPr>
                              <w:t xml:space="preserve"> provide budget certainty to the user base and guarantee the financial stability of the service, the DSB proposes to invoice users a single fixed amount on, or shortly in advance of, the User Agreement (UA) period to cover the entire UA period.</w:t>
                            </w:r>
                          </w:p>
                          <w:p w14:paraId="78F6647A" w14:textId="77777777" w:rsidR="00185AC3" w:rsidRPr="006F6406" w:rsidRDefault="00185AC3" w:rsidP="00185AC3">
                            <w:pPr>
                              <w:rPr>
                                <w:rStyle w:val="normaltextrun"/>
                                <w:rFonts w:ascii="Calibri" w:hAnsi="Calibri" w:cs="Calibri"/>
                                <w:color w:val="000000"/>
                              </w:rPr>
                            </w:pPr>
                            <w:r>
                              <w:rPr>
                                <w:rStyle w:val="normaltextrun"/>
                                <w:rFonts w:ascii="Calibri" w:hAnsi="Calibri" w:cs="Calibri"/>
                                <w:color w:val="000000"/>
                              </w:rPr>
                              <w:t xml:space="preserve">Any differences between the DSB’s actual costs and the revenues received in the UA period will be reconciled after the DSB’s accounts for that period have been audited, with any surplus / deficit applied as an adjustment to the user fees for the year </w:t>
                            </w:r>
                            <w:proofErr w:type="gramStart"/>
                            <w:r>
                              <w:rPr>
                                <w:rStyle w:val="normaltextrun"/>
                                <w:rFonts w:ascii="Calibri" w:hAnsi="Calibri" w:cs="Calibri"/>
                                <w:color w:val="000000"/>
                              </w:rPr>
                              <w:t>subsequent to</w:t>
                            </w:r>
                            <w:proofErr w:type="gramEnd"/>
                            <w:r>
                              <w:rPr>
                                <w:rStyle w:val="normaltextrun"/>
                                <w:rFonts w:ascii="Calibri" w:hAnsi="Calibri" w:cs="Calibri"/>
                                <w:color w:val="000000"/>
                              </w:rPr>
                              <w:t xml:space="preserve"> the audited accounts being finalised.</w:t>
                            </w:r>
                          </w:p>
                          <w:p w14:paraId="1F79927C" w14:textId="77777777" w:rsidR="00185AC3" w:rsidRDefault="00185AC3" w:rsidP="00185AC3">
                            <w:pPr>
                              <w:rPr>
                                <w:rStyle w:val="normaltextrun"/>
                                <w:rFonts w:ascii="Calibri" w:hAnsi="Calibri" w:cs="Calibri"/>
                                <w:b/>
                                <w:i/>
                                <w:color w:val="000000"/>
                              </w:rPr>
                            </w:pPr>
                            <w:r>
                              <w:rPr>
                                <w:rStyle w:val="normaltextrun"/>
                                <w:rFonts w:ascii="Calibri" w:hAnsi="Calibri" w:cs="Calibri"/>
                                <w:b/>
                                <w:bCs/>
                                <w:color w:val="000000"/>
                              </w:rPr>
                              <w:t>Question 7:</w:t>
                            </w:r>
                            <w:r w:rsidDel="007F4E8E">
                              <w:rPr>
                                <w:rStyle w:val="normaltextrun"/>
                                <w:rFonts w:ascii="Calibri" w:hAnsi="Calibri" w:cs="Calibri"/>
                                <w:b/>
                                <w:color w:val="000000"/>
                              </w:rPr>
                              <w:t xml:space="preserve"> </w:t>
                            </w:r>
                            <w:r w:rsidRPr="00E63BBE">
                              <w:rPr>
                                <w:rStyle w:val="normaltextrun"/>
                                <w:rFonts w:ascii="Calibri" w:hAnsi="Calibri" w:cs="Calibri"/>
                                <w:b/>
                                <w:i/>
                                <w:color w:val="000000"/>
                              </w:rPr>
                              <w:t>Do you agree with the DSB’s approach to invoicing users for its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91A66" id="Text Box 3" o:spid="_x0000_s1033" type="#_x0000_t202" style="position:absolute;left:0;text-align:left;margin-left:16.35pt;margin-top:21pt;width:450.15pt;height:154.6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" strokecolor="#04aeb9">
                <v:textbox>
                  <w:txbxContent>
                    <w:p w14:paraId="143CBB9E" w14:textId="77777777" w:rsidR="00185AC3" w:rsidRDefault="00185AC3" w:rsidP="00185AC3">
                      <w:pPr>
                        <w:rPr>
                          <w:rStyle w:val="normaltextrun"/>
                          <w:rFonts w:ascii="Calibri" w:hAnsi="Calibri" w:cs="Calibri"/>
                          <w:color w:val="000000"/>
                        </w:rPr>
                      </w:pPr>
                      <w:r>
                        <w:rPr>
                          <w:rStyle w:val="normaltextrun"/>
                          <w:rFonts w:ascii="Calibri" w:hAnsi="Calibri" w:cs="Calibri"/>
                          <w:b/>
                          <w:bCs/>
                          <w:color w:val="000000"/>
                        </w:rPr>
                        <w:t>Summary:</w:t>
                      </w:r>
                      <w:r w:rsidDel="00570E91">
                        <w:rPr>
                          <w:rStyle w:val="normaltextrun"/>
                          <w:rFonts w:ascii="Calibri" w:hAnsi="Calibri" w:cs="Calibri"/>
                          <w:b/>
                          <w:color w:val="000000"/>
                        </w:rPr>
                        <w:t xml:space="preserve"> </w:t>
                      </w:r>
                      <w:proofErr w:type="gramStart"/>
                      <w:r>
                        <w:rPr>
                          <w:rStyle w:val="normaltextrun"/>
                          <w:rFonts w:ascii="Calibri" w:hAnsi="Calibri" w:cs="Calibri"/>
                          <w:color w:val="000000"/>
                        </w:rPr>
                        <w:t>In order to</w:t>
                      </w:r>
                      <w:proofErr w:type="gramEnd"/>
                      <w:r>
                        <w:rPr>
                          <w:rStyle w:val="normaltextrun"/>
                          <w:rFonts w:ascii="Calibri" w:hAnsi="Calibri" w:cs="Calibri"/>
                          <w:color w:val="000000"/>
                        </w:rPr>
                        <w:t xml:space="preserve"> provide budget certainty to the user base and guarantee the financial stability of the service, the DSB proposes to invoice users a single fixed amount on, or shortly in advance of, the User Agreement (UA) period to cover the entire UA period.</w:t>
                      </w:r>
                    </w:p>
                    <w:p w14:paraId="78F6647A" w14:textId="77777777" w:rsidR="00185AC3" w:rsidRPr="006F6406" w:rsidRDefault="00185AC3" w:rsidP="00185AC3">
                      <w:pPr>
                        <w:rPr>
                          <w:rStyle w:val="normaltextrun"/>
                          <w:rFonts w:ascii="Calibri" w:hAnsi="Calibri" w:cs="Calibri"/>
                          <w:color w:val="000000"/>
                        </w:rPr>
                      </w:pPr>
                      <w:r>
                        <w:rPr>
                          <w:rStyle w:val="normaltextrun"/>
                          <w:rFonts w:ascii="Calibri" w:hAnsi="Calibri" w:cs="Calibri"/>
                          <w:color w:val="000000"/>
                        </w:rPr>
                        <w:t xml:space="preserve">Any differences between the DSB’s actual costs and the revenues received in the UA period will be reconciled after the DSB’s accounts for that period have been audited, with any surplus / deficit applied as an adjustment to the user fees for the year </w:t>
                      </w:r>
                      <w:proofErr w:type="gramStart"/>
                      <w:r>
                        <w:rPr>
                          <w:rStyle w:val="normaltextrun"/>
                          <w:rFonts w:ascii="Calibri" w:hAnsi="Calibri" w:cs="Calibri"/>
                          <w:color w:val="000000"/>
                        </w:rPr>
                        <w:t>subsequent to</w:t>
                      </w:r>
                      <w:proofErr w:type="gramEnd"/>
                      <w:r>
                        <w:rPr>
                          <w:rStyle w:val="normaltextrun"/>
                          <w:rFonts w:ascii="Calibri" w:hAnsi="Calibri" w:cs="Calibri"/>
                          <w:color w:val="000000"/>
                        </w:rPr>
                        <w:t xml:space="preserve"> the audited accounts being finalised.</w:t>
                      </w:r>
                    </w:p>
                    <w:p w14:paraId="1F79927C" w14:textId="77777777" w:rsidR="00185AC3" w:rsidRDefault="00185AC3" w:rsidP="00185AC3">
                      <w:pPr>
                        <w:rPr>
                          <w:rStyle w:val="normaltextrun"/>
                          <w:rFonts w:ascii="Calibri" w:hAnsi="Calibri" w:cs="Calibri"/>
                          <w:b/>
                          <w:i/>
                          <w:color w:val="000000"/>
                        </w:rPr>
                      </w:pPr>
                      <w:r>
                        <w:rPr>
                          <w:rStyle w:val="normaltextrun"/>
                          <w:rFonts w:ascii="Calibri" w:hAnsi="Calibri" w:cs="Calibri"/>
                          <w:b/>
                          <w:bCs/>
                          <w:color w:val="000000"/>
                        </w:rPr>
                        <w:t>Question 7:</w:t>
                      </w:r>
                      <w:r w:rsidDel="007F4E8E">
                        <w:rPr>
                          <w:rStyle w:val="normaltextrun"/>
                          <w:rFonts w:ascii="Calibri" w:hAnsi="Calibri" w:cs="Calibri"/>
                          <w:b/>
                          <w:color w:val="000000"/>
                        </w:rPr>
                        <w:t xml:space="preserve"> </w:t>
                      </w:r>
                      <w:r w:rsidRPr="00E63BBE">
                        <w:rPr>
                          <w:rStyle w:val="normaltextrun"/>
                          <w:rFonts w:ascii="Calibri" w:hAnsi="Calibri" w:cs="Calibri"/>
                          <w:b/>
                          <w:i/>
                          <w:color w:val="000000"/>
                        </w:rPr>
                        <w:t>Do you agree with the DSB’s approach to invoicing users for its services?</w:t>
                      </w:r>
                    </w:p>
                  </w:txbxContent>
                </v:textbox>
                <w10:wrap type="square" anchorx="margin"/>
              </v:shape>
            </w:pict>
          </mc:Fallback>
        </mc:AlternateContent>
      </w:r>
      <w:bookmarkEnd w:id="587"/>
      <w:r>
        <w:t>Q7 – Invoicing Approach</w:t>
      </w:r>
      <w:bookmarkEnd w:id="588"/>
      <w:bookmarkEnd w:id="589"/>
      <w:bookmarkEnd w:id="590"/>
      <w:bookmarkEnd w:id="591"/>
      <w:r>
        <w:t xml:space="preserve"> </w:t>
      </w:r>
    </w:p>
    <w:p w14:paraId="0B491835" w14:textId="77777777" w:rsidR="00185AC3" w:rsidRPr="002B116E" w:rsidRDefault="00185AC3" w:rsidP="003F6833">
      <w:pPr>
        <w:spacing w:line="276" w:lineRule="auto"/>
        <w:jc w:val="both"/>
        <w:rPr>
          <w:u w:val="single"/>
        </w:rPr>
      </w:pPr>
      <w:r w:rsidRPr="002B116E">
        <w:rPr>
          <w:u w:val="single"/>
        </w:rPr>
        <w:t>Supporting Information:</w:t>
      </w:r>
    </w:p>
    <w:p w14:paraId="0E3265F3" w14:textId="77777777" w:rsidR="00185AC3" w:rsidRPr="002B116E" w:rsidRDefault="00185AC3" w:rsidP="003F6833">
      <w:pPr>
        <w:spacing w:line="276" w:lineRule="auto"/>
        <w:rPr>
          <w:rStyle w:val="normaltextrun"/>
          <w:rFonts w:ascii="Calibri" w:hAnsi="Calibri" w:cs="Calibri"/>
          <w:color w:val="000000"/>
        </w:rPr>
      </w:pPr>
      <w:r w:rsidRPr="002B116E">
        <w:rPr>
          <w:rStyle w:val="normaltextrun"/>
          <w:rFonts w:ascii="Calibri" w:hAnsi="Calibri" w:cs="Calibri"/>
          <w:color w:val="000000"/>
        </w:rPr>
        <w:t>The DSB considered the following factors when determining its approach for invoicing:</w:t>
      </w:r>
    </w:p>
    <w:p w14:paraId="3E7DD3B3" w14:textId="77777777" w:rsidR="00185AC3" w:rsidRPr="002B116E" w:rsidRDefault="00185AC3" w:rsidP="0048715D">
      <w:pPr>
        <w:pStyle w:val="ListParagraph"/>
        <w:numPr>
          <w:ilvl w:val="0"/>
          <w:numId w:val="6"/>
        </w:numPr>
        <w:spacing w:line="276" w:lineRule="auto"/>
        <w:rPr>
          <w:rStyle w:val="normaltextrun"/>
          <w:color w:val="000000"/>
        </w:rPr>
      </w:pPr>
      <w:r w:rsidRPr="002B116E">
        <w:rPr>
          <w:rStyle w:val="normaltextrun"/>
          <w:color w:val="000000"/>
        </w:rPr>
        <w:lastRenderedPageBreak/>
        <w:t xml:space="preserve">Feedback from the DSB’s existing user base has emphasised the importance of providing budget certainty to users for the duration of the UA. </w:t>
      </w:r>
    </w:p>
    <w:p w14:paraId="7C2F4B3F" w14:textId="77777777" w:rsidR="00185AC3" w:rsidRPr="002B116E" w:rsidRDefault="00185AC3" w:rsidP="0087769A">
      <w:pPr>
        <w:pStyle w:val="ListParagraph"/>
        <w:numPr>
          <w:ilvl w:val="0"/>
          <w:numId w:val="6"/>
        </w:numPr>
        <w:spacing w:line="276" w:lineRule="auto"/>
        <w:rPr>
          <w:rStyle w:val="normaltextrun"/>
          <w:color w:val="000000"/>
        </w:rPr>
      </w:pPr>
      <w:r w:rsidRPr="002B116E">
        <w:rPr>
          <w:rStyle w:val="normaltextrun"/>
          <w:color w:val="000000"/>
        </w:rPr>
        <w:t xml:space="preserve">The DSB is required to align user fees with the DSB’s costs, as part of its obligation to operate the service on a cost recovery basis. </w:t>
      </w:r>
    </w:p>
    <w:p w14:paraId="3D66AC31" w14:textId="69F4F705" w:rsidR="00185AC3" w:rsidRPr="002B116E" w:rsidRDefault="00185AC3" w:rsidP="0087769A">
      <w:pPr>
        <w:pStyle w:val="ListParagraph"/>
        <w:numPr>
          <w:ilvl w:val="0"/>
          <w:numId w:val="6"/>
        </w:numPr>
        <w:spacing w:line="276" w:lineRule="auto"/>
        <w:rPr>
          <w:rStyle w:val="normaltextrun"/>
          <w:color w:val="000000"/>
        </w:rPr>
      </w:pPr>
      <w:r w:rsidRPr="002B116E">
        <w:rPr>
          <w:rStyle w:val="normaltextrun"/>
          <w:color w:val="000000"/>
        </w:rPr>
        <w:t xml:space="preserve">Economic Sustainability is a </w:t>
      </w:r>
      <w:r w:rsidR="00C747E7" w:rsidRPr="002B116E">
        <w:rPr>
          <w:rStyle w:val="normaltextrun"/>
          <w:color w:val="000000"/>
        </w:rPr>
        <w:t>critical governance criterion</w:t>
      </w:r>
      <w:r w:rsidRPr="002B116E">
        <w:rPr>
          <w:rStyle w:val="normaltextrun"/>
          <w:color w:val="000000"/>
        </w:rPr>
        <w:t xml:space="preserve"> described in section </w:t>
      </w:r>
      <w:r w:rsidRPr="002B116E">
        <w:rPr>
          <w:rStyle w:val="normaltextrun"/>
          <w:i/>
          <w:color w:val="000000"/>
        </w:rPr>
        <w:fldChar w:fldCharType="begin"/>
      </w:r>
      <w:r w:rsidRPr="002B116E">
        <w:rPr>
          <w:rStyle w:val="normaltextrun"/>
          <w:i/>
          <w:color w:val="000000"/>
        </w:rPr>
        <w:instrText xml:space="preserve"> REF _Ref58234110 \r \h  \* MERGEFORMAT </w:instrText>
      </w:r>
      <w:r w:rsidRPr="002B116E">
        <w:rPr>
          <w:rStyle w:val="normaltextrun"/>
          <w:i/>
          <w:color w:val="000000"/>
        </w:rPr>
      </w:r>
      <w:r w:rsidRPr="002B116E">
        <w:rPr>
          <w:rStyle w:val="normaltextrun"/>
          <w:i/>
          <w:color w:val="000000"/>
        </w:rPr>
        <w:fldChar w:fldCharType="separate"/>
      </w:r>
      <w:r w:rsidRPr="002B116E">
        <w:rPr>
          <w:rStyle w:val="normaltextrun"/>
          <w:i/>
          <w:color w:val="000000"/>
        </w:rPr>
        <w:t>3.2.2</w:t>
      </w:r>
      <w:r w:rsidRPr="002B116E">
        <w:rPr>
          <w:rStyle w:val="normaltextrun"/>
          <w:i/>
          <w:color w:val="000000"/>
        </w:rPr>
        <w:fldChar w:fldCharType="end"/>
      </w:r>
      <w:r w:rsidRPr="002B116E">
        <w:rPr>
          <w:rStyle w:val="normaltextrun"/>
          <w:i/>
          <w:iCs/>
          <w:color w:val="000000"/>
        </w:rPr>
        <w:t xml:space="preserve"> </w:t>
      </w:r>
      <w:r w:rsidRPr="002B116E">
        <w:rPr>
          <w:rStyle w:val="normaltextrun"/>
          <w:i/>
          <w:color w:val="000000"/>
        </w:rPr>
        <w:fldChar w:fldCharType="begin"/>
      </w:r>
      <w:r w:rsidRPr="002B116E">
        <w:rPr>
          <w:rStyle w:val="normaltextrun"/>
          <w:i/>
          <w:color w:val="000000"/>
        </w:rPr>
        <w:instrText xml:space="preserve"> REF _Ref58234123 \h  \* MERGEFORMAT </w:instrText>
      </w:r>
      <w:r w:rsidRPr="002B116E">
        <w:rPr>
          <w:rStyle w:val="normaltextrun"/>
          <w:i/>
          <w:color w:val="000000"/>
        </w:rPr>
      </w:r>
      <w:r w:rsidRPr="002B116E">
        <w:rPr>
          <w:rStyle w:val="normaltextrun"/>
          <w:i/>
          <w:color w:val="000000"/>
        </w:rPr>
        <w:fldChar w:fldCharType="separate"/>
      </w:r>
      <w:r w:rsidRPr="002B116E">
        <w:rPr>
          <w:i/>
          <w:iCs/>
        </w:rPr>
        <w:t>UPI Governance Criteria</w:t>
      </w:r>
      <w:r w:rsidRPr="002B116E">
        <w:rPr>
          <w:rStyle w:val="normaltextrun"/>
          <w:i/>
          <w:color w:val="000000"/>
        </w:rPr>
        <w:fldChar w:fldCharType="end"/>
      </w:r>
      <w:r w:rsidRPr="002B116E">
        <w:rPr>
          <w:rStyle w:val="normaltextrun"/>
          <w:color w:val="000000"/>
        </w:rPr>
        <w:t xml:space="preserve">. As an industry utility operating under a cost recovery principle, the DSB requires a funding model that ensures financial viability over time, which includes efficiency and reliability. Any proposal must ensure that the DSB can meet its responsibility for prudent financial management. </w:t>
      </w:r>
    </w:p>
    <w:p w14:paraId="26E8BAD4" w14:textId="77777777" w:rsidR="00185AC3" w:rsidRPr="002B116E" w:rsidRDefault="00185AC3" w:rsidP="00641886">
      <w:pPr>
        <w:pStyle w:val="ListParagraph"/>
        <w:numPr>
          <w:ilvl w:val="0"/>
          <w:numId w:val="6"/>
        </w:numPr>
        <w:spacing w:line="276" w:lineRule="auto"/>
        <w:rPr>
          <w:rStyle w:val="normaltextrun"/>
          <w:color w:val="000000"/>
        </w:rPr>
      </w:pPr>
      <w:r w:rsidRPr="002B116E">
        <w:rPr>
          <w:rStyle w:val="normaltextrun"/>
          <w:color w:val="000000"/>
        </w:rPr>
        <w:t xml:space="preserve">User numbers may change during the year, for example </w:t>
      </w:r>
      <w:proofErr w:type="gramStart"/>
      <w:r w:rsidRPr="002B116E">
        <w:rPr>
          <w:rStyle w:val="normaltextrun"/>
          <w:color w:val="000000"/>
        </w:rPr>
        <w:t>as a result of</w:t>
      </w:r>
      <w:proofErr w:type="gramEnd"/>
      <w:r w:rsidRPr="002B116E">
        <w:rPr>
          <w:rStyle w:val="normaltextrun"/>
          <w:color w:val="000000"/>
        </w:rPr>
        <w:t xml:space="preserve"> additional users joining the service. </w:t>
      </w:r>
    </w:p>
    <w:p w14:paraId="4954277D" w14:textId="77777777" w:rsidR="00185AC3" w:rsidRPr="002B116E" w:rsidRDefault="00185AC3" w:rsidP="000518A5">
      <w:pPr>
        <w:pStyle w:val="ListParagraph"/>
        <w:numPr>
          <w:ilvl w:val="0"/>
          <w:numId w:val="6"/>
        </w:numPr>
        <w:spacing w:line="276" w:lineRule="auto"/>
        <w:rPr>
          <w:rStyle w:val="normaltextrun"/>
          <w:color w:val="000000"/>
        </w:rPr>
      </w:pPr>
      <w:r w:rsidRPr="002B116E">
        <w:rPr>
          <w:rStyle w:val="normaltextrun"/>
          <w:color w:val="000000"/>
        </w:rPr>
        <w:t>Estimated costs may change, for example based on regulatory clarifications or user requests for changes in functionality.</w:t>
      </w:r>
    </w:p>
    <w:p w14:paraId="3C7BC366" w14:textId="77777777" w:rsidR="00185AC3" w:rsidRPr="002B116E" w:rsidRDefault="00185AC3" w:rsidP="000518A5">
      <w:pPr>
        <w:pStyle w:val="NormalWeb"/>
        <w:shd w:val="clear" w:color="auto" w:fill="FFFFFF" w:themeFill="background1"/>
        <w:spacing w:before="0" w:beforeAutospacing="0" w:after="120" w:afterAutospacing="0" w:line="276" w:lineRule="auto"/>
        <w:textAlignment w:val="baseline"/>
        <w:rPr>
          <w:rStyle w:val="normaltextrun"/>
          <w:rFonts w:asciiTheme="minorHAnsi" w:hAnsiTheme="minorHAnsi" w:cstheme="minorHAnsi"/>
          <w:bCs/>
          <w:sz w:val="22"/>
          <w:szCs w:val="22"/>
          <w:u w:val="single"/>
        </w:rPr>
      </w:pPr>
      <w:r w:rsidRPr="002B116E">
        <w:rPr>
          <w:rStyle w:val="normaltextrun"/>
          <w:rFonts w:asciiTheme="minorHAnsi" w:hAnsiTheme="minorHAnsi" w:cstheme="minorHAnsi"/>
          <w:b/>
          <w:sz w:val="22"/>
          <w:szCs w:val="22"/>
          <w:u w:val="single"/>
        </w:rPr>
        <w:t>DSB Proposal:</w:t>
      </w:r>
      <w:r w:rsidRPr="002B116E">
        <w:rPr>
          <w:rStyle w:val="normaltextrun"/>
          <w:rFonts w:asciiTheme="minorHAnsi" w:hAnsiTheme="minorHAnsi" w:cstheme="minorHAnsi"/>
          <w:bCs/>
          <w:sz w:val="22"/>
          <w:szCs w:val="22"/>
          <w:u w:val="single"/>
        </w:rPr>
        <w:t xml:space="preserve"> </w:t>
      </w:r>
    </w:p>
    <w:p w14:paraId="7303E37D" w14:textId="11A428D2" w:rsidR="00185AC3" w:rsidRPr="002B116E" w:rsidRDefault="00185AC3" w:rsidP="003F6833">
      <w:pPr>
        <w:spacing w:line="276" w:lineRule="auto"/>
        <w:rPr>
          <w:rStyle w:val="normaltextrun"/>
          <w:rFonts w:ascii="Calibri" w:hAnsi="Calibri" w:cs="Calibri"/>
          <w:color w:val="000000"/>
        </w:rPr>
      </w:pPr>
      <w:r w:rsidRPr="002B116E">
        <w:rPr>
          <w:rStyle w:val="normaltextrun"/>
          <w:rFonts w:ascii="Calibri" w:hAnsi="Calibri" w:cs="Calibri"/>
          <w:color w:val="000000"/>
        </w:rPr>
        <w:t>The DSB proposes to charge each category of fee-paying user a fixed fee (albeit varying by user category based on the requested services</w:t>
      </w:r>
      <w:r w:rsidR="000631BB">
        <w:rPr>
          <w:rStyle w:val="FootnoteReference"/>
          <w:rFonts w:ascii="Calibri" w:hAnsi="Calibri" w:cs="Calibri"/>
          <w:color w:val="000000"/>
        </w:rPr>
        <w:footnoteReference w:id="48"/>
      </w:r>
      <w:r w:rsidRPr="002B116E">
        <w:rPr>
          <w:rStyle w:val="normaltextrun"/>
          <w:rFonts w:ascii="Calibri" w:hAnsi="Calibri" w:cs="Calibri"/>
          <w:color w:val="000000"/>
        </w:rPr>
        <w:t>). This fixed</w:t>
      </w:r>
      <w:r w:rsidRPr="002B116E" w:rsidDel="00FD5FEC">
        <w:rPr>
          <w:rStyle w:val="normaltextrun"/>
          <w:rFonts w:ascii="Calibri" w:hAnsi="Calibri" w:cs="Calibri"/>
          <w:color w:val="000000"/>
        </w:rPr>
        <w:t xml:space="preserve"> </w:t>
      </w:r>
      <w:r w:rsidRPr="002B116E">
        <w:rPr>
          <w:rStyle w:val="normaltextrun"/>
          <w:rFonts w:ascii="Calibri" w:hAnsi="Calibri" w:cs="Calibri"/>
          <w:color w:val="000000"/>
        </w:rPr>
        <w:t>fee will cover the user for the duration of the UA, regardless of the number of times the UPI service is accessed, either for UPI creation or for UPI retrieval / searches.</w:t>
      </w:r>
    </w:p>
    <w:p w14:paraId="773B1E87" w14:textId="77777777" w:rsidR="00185AC3" w:rsidRPr="002B116E" w:rsidRDefault="00185AC3" w:rsidP="003F6833">
      <w:pPr>
        <w:spacing w:line="276" w:lineRule="auto"/>
        <w:rPr>
          <w:rStyle w:val="normaltextrun"/>
          <w:rFonts w:ascii="Calibri" w:hAnsi="Calibri" w:cs="Calibri"/>
          <w:color w:val="000000"/>
        </w:rPr>
      </w:pPr>
      <w:proofErr w:type="gramStart"/>
      <w:r w:rsidRPr="002B116E">
        <w:rPr>
          <w:rStyle w:val="normaltextrun"/>
          <w:rFonts w:ascii="Calibri" w:hAnsi="Calibri" w:cs="Calibri"/>
          <w:color w:val="000000"/>
        </w:rPr>
        <w:t>In order to</w:t>
      </w:r>
      <w:proofErr w:type="gramEnd"/>
      <w:r w:rsidRPr="002B116E">
        <w:rPr>
          <w:rStyle w:val="normaltextrun"/>
          <w:rFonts w:ascii="Calibri" w:hAnsi="Calibri" w:cs="Calibri"/>
          <w:color w:val="000000"/>
        </w:rPr>
        <w:t xml:space="preserve"> determine the user fees, the DSB will provide an estimate of the DSB’s costs for the UA period and ensure it invoices only the amount required to recover this estimated cost. </w:t>
      </w:r>
      <w:proofErr w:type="gramStart"/>
      <w:r w:rsidRPr="002B116E">
        <w:rPr>
          <w:rStyle w:val="normaltextrun"/>
          <w:rFonts w:ascii="Calibri" w:hAnsi="Calibri" w:cs="Calibri"/>
          <w:color w:val="000000"/>
        </w:rPr>
        <w:t>In order to</w:t>
      </w:r>
      <w:proofErr w:type="gramEnd"/>
      <w:r w:rsidRPr="002B116E">
        <w:rPr>
          <w:rStyle w:val="normaltextrun"/>
          <w:rFonts w:ascii="Calibri" w:hAnsi="Calibri" w:cs="Calibri"/>
          <w:color w:val="000000"/>
        </w:rPr>
        <w:t xml:space="preserve"> determine the per-user cost, the DSB will divide the estimated cost by the number of users who have signed the UA or indicated renewal of the UA (for subsequent years). The per user fee will be calculated as the estimated cost divided by the number of users who have signed the UA.</w:t>
      </w:r>
    </w:p>
    <w:p w14:paraId="320F2571" w14:textId="77777777" w:rsidR="00185AC3" w:rsidRPr="002B116E" w:rsidRDefault="00185AC3" w:rsidP="003F6833">
      <w:pPr>
        <w:spacing w:line="276" w:lineRule="auto"/>
        <w:rPr>
          <w:rStyle w:val="normaltextrun"/>
          <w:rFonts w:ascii="Calibri" w:hAnsi="Calibri" w:cs="Calibri"/>
          <w:color w:val="000000"/>
        </w:rPr>
      </w:pPr>
      <w:r w:rsidRPr="002B116E">
        <w:rPr>
          <w:rStyle w:val="normaltextrun"/>
          <w:rFonts w:ascii="Calibri" w:hAnsi="Calibri" w:cs="Calibri"/>
          <w:color w:val="000000"/>
        </w:rPr>
        <w:t xml:space="preserve">The DSB will reconcile any differences between the DSB’s actual costs and revenues for the UA period versus the original estimated costs and revenues after the DSB’s accounts for that period have been audited. The DSB proposes to apply any surplus / deficit as an adjustment to the user fees in the year </w:t>
      </w:r>
      <w:proofErr w:type="gramStart"/>
      <w:r w:rsidRPr="002B116E">
        <w:rPr>
          <w:rStyle w:val="normaltextrun"/>
          <w:rFonts w:ascii="Calibri" w:hAnsi="Calibri" w:cs="Calibri"/>
          <w:color w:val="000000"/>
        </w:rPr>
        <w:t>subsequent to</w:t>
      </w:r>
      <w:proofErr w:type="gramEnd"/>
      <w:r w:rsidRPr="002B116E">
        <w:rPr>
          <w:rStyle w:val="normaltextrun"/>
          <w:rFonts w:ascii="Calibri" w:hAnsi="Calibri" w:cs="Calibri"/>
          <w:color w:val="000000"/>
        </w:rPr>
        <w:t xml:space="preserve"> the audited accounts being finalised.</w:t>
      </w:r>
    </w:p>
    <w:p w14:paraId="0A1C3865" w14:textId="77777777" w:rsidR="00185AC3" w:rsidRPr="002B116E" w:rsidRDefault="00185AC3" w:rsidP="003F6833">
      <w:pPr>
        <w:spacing w:line="276" w:lineRule="auto"/>
        <w:jc w:val="both"/>
        <w:rPr>
          <w:u w:val="single"/>
        </w:rPr>
      </w:pPr>
      <w:r w:rsidRPr="002B116E">
        <w:rPr>
          <w:u w:val="single"/>
        </w:rPr>
        <w:t>Alternative Options</w:t>
      </w:r>
    </w:p>
    <w:p w14:paraId="77AC3415" w14:textId="77777777" w:rsidR="00185AC3" w:rsidRPr="002B116E" w:rsidRDefault="00185AC3" w:rsidP="003F6833">
      <w:pPr>
        <w:spacing w:line="276" w:lineRule="auto"/>
        <w:jc w:val="both"/>
        <w:rPr>
          <w:u w:val="single"/>
        </w:rPr>
      </w:pPr>
      <w:r w:rsidRPr="002B116E">
        <w:t>The DSB also considered the following options:</w:t>
      </w:r>
    </w:p>
    <w:p w14:paraId="24570F14" w14:textId="77777777" w:rsidR="00185AC3" w:rsidRPr="002B116E" w:rsidRDefault="00185AC3" w:rsidP="0048715D">
      <w:pPr>
        <w:pStyle w:val="ListParagraph"/>
        <w:numPr>
          <w:ilvl w:val="0"/>
          <w:numId w:val="11"/>
        </w:numPr>
        <w:spacing w:line="276" w:lineRule="auto"/>
        <w:jc w:val="both"/>
      </w:pPr>
      <w:r w:rsidRPr="002B116E">
        <w:rPr>
          <w:b/>
          <w:bCs/>
        </w:rPr>
        <w:t>Invoicing at the end of the UA period rather than the beginning</w:t>
      </w:r>
      <w:r w:rsidRPr="002B116E">
        <w:t xml:space="preserve">: This option would allow the DSB to provide a better estimate of both costs and revenues. However, it would mean that the DSB would have to outlay the operational costs from its reserves which increases the financial risks to the DSB and makes it more difficult to satisfy the Economic Sustainability criteria described in </w:t>
      </w:r>
      <w:r w:rsidRPr="002B116E">
        <w:rPr>
          <w:rStyle w:val="normaltextrun"/>
          <w:color w:val="000000"/>
        </w:rPr>
        <w:t xml:space="preserve">section </w:t>
      </w:r>
      <w:r w:rsidRPr="002B116E">
        <w:rPr>
          <w:rStyle w:val="normaltextrun"/>
          <w:i/>
          <w:color w:val="000000"/>
        </w:rPr>
        <w:fldChar w:fldCharType="begin"/>
      </w:r>
      <w:r w:rsidRPr="002B116E">
        <w:rPr>
          <w:rStyle w:val="normaltextrun"/>
          <w:i/>
          <w:color w:val="000000"/>
        </w:rPr>
        <w:instrText xml:space="preserve"> REF _Ref58234110 \r \h  \* MERGEFORMAT </w:instrText>
      </w:r>
      <w:r w:rsidRPr="002B116E">
        <w:rPr>
          <w:rStyle w:val="normaltextrun"/>
          <w:i/>
          <w:color w:val="000000"/>
        </w:rPr>
      </w:r>
      <w:r w:rsidRPr="002B116E">
        <w:rPr>
          <w:rStyle w:val="normaltextrun"/>
          <w:i/>
          <w:color w:val="000000"/>
        </w:rPr>
        <w:fldChar w:fldCharType="separate"/>
      </w:r>
      <w:r w:rsidRPr="002B116E">
        <w:rPr>
          <w:rStyle w:val="normaltextrun"/>
          <w:i/>
          <w:color w:val="000000"/>
        </w:rPr>
        <w:t>3.2.2</w:t>
      </w:r>
      <w:r w:rsidRPr="002B116E">
        <w:rPr>
          <w:rStyle w:val="normaltextrun"/>
          <w:i/>
          <w:color w:val="000000"/>
        </w:rPr>
        <w:fldChar w:fldCharType="end"/>
      </w:r>
      <w:r w:rsidRPr="002B116E">
        <w:rPr>
          <w:rStyle w:val="normaltextrun"/>
          <w:i/>
          <w:iCs/>
          <w:color w:val="000000"/>
        </w:rPr>
        <w:t xml:space="preserve"> </w:t>
      </w:r>
      <w:r w:rsidRPr="002B116E">
        <w:rPr>
          <w:rStyle w:val="normaltextrun"/>
          <w:i/>
          <w:color w:val="000000"/>
        </w:rPr>
        <w:fldChar w:fldCharType="begin"/>
      </w:r>
      <w:r w:rsidRPr="002B116E">
        <w:rPr>
          <w:rStyle w:val="normaltextrun"/>
          <w:i/>
          <w:color w:val="000000"/>
        </w:rPr>
        <w:instrText xml:space="preserve"> REF _Ref58234123 \h  \* MERGEFORMAT </w:instrText>
      </w:r>
      <w:r w:rsidRPr="002B116E">
        <w:rPr>
          <w:rStyle w:val="normaltextrun"/>
          <w:i/>
          <w:color w:val="000000"/>
        </w:rPr>
      </w:r>
      <w:r w:rsidRPr="002B116E">
        <w:rPr>
          <w:rStyle w:val="normaltextrun"/>
          <w:i/>
          <w:color w:val="000000"/>
        </w:rPr>
        <w:fldChar w:fldCharType="separate"/>
      </w:r>
      <w:r w:rsidRPr="002B116E">
        <w:rPr>
          <w:i/>
          <w:iCs/>
        </w:rPr>
        <w:t>UPI Governance Criteria</w:t>
      </w:r>
      <w:r w:rsidRPr="002B116E">
        <w:rPr>
          <w:rStyle w:val="normaltextrun"/>
          <w:i/>
          <w:color w:val="000000"/>
        </w:rPr>
        <w:fldChar w:fldCharType="end"/>
      </w:r>
      <w:r w:rsidRPr="002B116E">
        <w:t>. Additionally, users would not have certainty of costs until the end of the UA period which may straddle the budget period for some users. The approach would still require a reconciliation after the audited accounts are finalised (typically 6-9 months after the end of the UA period), thereby increasing uncertainty without simplifying the underlying processes.</w:t>
      </w:r>
    </w:p>
    <w:p w14:paraId="3AEA3913" w14:textId="77777777" w:rsidR="00185AC3" w:rsidRPr="002B116E" w:rsidRDefault="00185AC3" w:rsidP="0087769A">
      <w:pPr>
        <w:pStyle w:val="ListParagraph"/>
        <w:spacing w:line="276" w:lineRule="auto"/>
        <w:jc w:val="both"/>
      </w:pPr>
    </w:p>
    <w:p w14:paraId="469C5A54" w14:textId="77777777" w:rsidR="00185AC3" w:rsidRPr="002B116E" w:rsidRDefault="00185AC3" w:rsidP="0087769A">
      <w:pPr>
        <w:pStyle w:val="ListParagraph"/>
        <w:numPr>
          <w:ilvl w:val="0"/>
          <w:numId w:val="11"/>
        </w:numPr>
        <w:spacing w:line="276" w:lineRule="auto"/>
        <w:jc w:val="both"/>
      </w:pPr>
      <w:r w:rsidRPr="002B116E">
        <w:rPr>
          <w:b/>
          <w:bCs/>
        </w:rPr>
        <w:lastRenderedPageBreak/>
        <w:t>Invoicing per UPI creation and/or API search &amp; retrieval</w:t>
      </w:r>
      <w:r w:rsidRPr="002B116E">
        <w:t xml:space="preserve">: This option is </w:t>
      </w:r>
      <w:proofErr w:type="gramStart"/>
      <w:r w:rsidRPr="002B116E">
        <w:t>similar to</w:t>
      </w:r>
      <w:proofErr w:type="gramEnd"/>
      <w:r w:rsidRPr="002B116E">
        <w:t xml:space="preserve"> the LEI creation fee and would remove the need for users to make any advance payment. However, it introduces several issues </w:t>
      </w:r>
      <w:proofErr w:type="gramStart"/>
      <w:r w:rsidRPr="002B116E">
        <w:t>as a result of</w:t>
      </w:r>
      <w:proofErr w:type="gramEnd"/>
      <w:r w:rsidRPr="002B116E">
        <w:t xml:space="preserve"> the fees being dependent on the volume of each user’s activity. </w:t>
      </w:r>
    </w:p>
    <w:p w14:paraId="77422CD7" w14:textId="6FE489D2" w:rsidR="00185AC3" w:rsidRPr="002B116E" w:rsidRDefault="00185AC3" w:rsidP="00641886">
      <w:pPr>
        <w:pStyle w:val="ListParagraph"/>
        <w:numPr>
          <w:ilvl w:val="0"/>
          <w:numId w:val="12"/>
        </w:numPr>
        <w:spacing w:after="120" w:line="276" w:lineRule="auto"/>
        <w:ind w:left="1077" w:hanging="357"/>
        <w:contextualSpacing w:val="0"/>
        <w:jc w:val="both"/>
      </w:pPr>
      <w:r w:rsidRPr="002B116E">
        <w:t>User fees would no longer be fixed for the duration of the UA, which would increase budget uncertainty for users</w:t>
      </w:r>
      <w:r w:rsidR="00F53BDE">
        <w:t>.</w:t>
      </w:r>
    </w:p>
    <w:p w14:paraId="40BF3CA0" w14:textId="3A639477" w:rsidR="00185AC3" w:rsidRPr="002B116E" w:rsidRDefault="00185AC3" w:rsidP="000518A5">
      <w:pPr>
        <w:pStyle w:val="ListParagraph"/>
        <w:numPr>
          <w:ilvl w:val="0"/>
          <w:numId w:val="12"/>
        </w:numPr>
        <w:spacing w:after="120" w:line="276" w:lineRule="auto"/>
        <w:ind w:left="1077" w:hanging="357"/>
        <w:contextualSpacing w:val="0"/>
        <w:jc w:val="both"/>
      </w:pPr>
      <w:r w:rsidRPr="002B116E">
        <w:t xml:space="preserve">The nature of the UPI is that it has no </w:t>
      </w:r>
      <w:r w:rsidR="00C747E7" w:rsidRPr="002B116E">
        <w:t>issuer,</w:t>
      </w:r>
      <w:r w:rsidRPr="002B116E">
        <w:t xml:space="preserve"> and the same UPI may well be of interest to multiple users. This leads to a free-rider problem, where any given user who needs a UPI may prefer to wait for another user to create the UPI first (and hence incur the UPI creation cost), with the second user downloading the UPI for free once it has been created.</w:t>
      </w:r>
    </w:p>
    <w:p w14:paraId="03859E2B" w14:textId="77777777" w:rsidR="00185AC3" w:rsidRPr="002B116E" w:rsidRDefault="00185AC3" w:rsidP="000518A5">
      <w:pPr>
        <w:pStyle w:val="ListParagraph"/>
        <w:numPr>
          <w:ilvl w:val="0"/>
          <w:numId w:val="12"/>
        </w:numPr>
        <w:spacing w:after="120" w:line="276" w:lineRule="auto"/>
        <w:ind w:left="1077" w:hanging="357"/>
        <w:contextualSpacing w:val="0"/>
        <w:jc w:val="both"/>
      </w:pPr>
      <w:r w:rsidRPr="002B116E">
        <w:t xml:space="preserve">This option still requires a reconciliation of costs versus revenues based on the finalised audited accounts. However, the estimated revenues at the start of the UA will be much less certain as they will be dependent on the number of UPIs created during the UA period which is less easy to estimate compared to the number of users of the service. This means users will likely face greater variability in fees </w:t>
      </w:r>
      <w:proofErr w:type="gramStart"/>
      <w:r w:rsidRPr="002B116E">
        <w:t>as a result of</w:t>
      </w:r>
      <w:proofErr w:type="gramEnd"/>
      <w:r w:rsidRPr="002B116E">
        <w:t xml:space="preserve"> the likely greater discrepancies between actual and estimates revenue figures.</w:t>
      </w:r>
    </w:p>
    <w:p w14:paraId="38119B82" w14:textId="77777777" w:rsidR="00185AC3" w:rsidRDefault="00185AC3" w:rsidP="003F6833">
      <w:pPr>
        <w:spacing w:line="276" w:lineRule="auto"/>
        <w:jc w:val="both"/>
      </w:pPr>
    </w:p>
    <w:p w14:paraId="1687936F" w14:textId="2528BB69" w:rsidR="00185AC3" w:rsidRDefault="00185AC3" w:rsidP="0048715D">
      <w:pPr>
        <w:pStyle w:val="Heading2"/>
        <w:spacing w:before="0" w:line="276" w:lineRule="auto"/>
      </w:pPr>
      <w:bookmarkStart w:id="592" w:name="_Ref57553191"/>
      <w:bookmarkStart w:id="593" w:name="_Ref57553207"/>
      <w:bookmarkStart w:id="594" w:name="_Toc60651794"/>
      <w:bookmarkStart w:id="595" w:name="_Toc61255936"/>
      <w:r>
        <w:rPr>
          <w:noProof/>
          <w:lang w:eastAsia="en-GB"/>
        </w:rPr>
        <mc:AlternateContent>
          <mc:Choice Requires="wps">
            <w:drawing>
              <wp:anchor distT="45720" distB="45720" distL="114300" distR="114300" simplePos="0" relativeHeight="251663872" behindDoc="0" locked="0" layoutInCell="1" allowOverlap="1" wp14:anchorId="14427310" wp14:editId="6E9471A4">
                <wp:simplePos x="0" y="0"/>
                <wp:positionH relativeFrom="margin">
                  <wp:posOffset>0</wp:posOffset>
                </wp:positionH>
                <wp:positionV relativeFrom="paragraph">
                  <wp:posOffset>252095</wp:posOffset>
                </wp:positionV>
                <wp:extent cx="5716905" cy="2017395"/>
                <wp:effectExtent l="0" t="0" r="17145" b="2095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017395"/>
                        </a:xfrm>
                        <a:prstGeom prst="rect">
                          <a:avLst/>
                        </a:prstGeom>
                        <a:solidFill>
                          <a:srgbClr val="FFFFFF"/>
                        </a:solidFill>
                        <a:ln w="9525">
                          <a:solidFill>
                            <a:srgbClr val="04AEB9"/>
                          </a:solidFill>
                          <a:miter lim="800000"/>
                          <a:headEnd/>
                          <a:tailEnd/>
                        </a:ln>
                      </wps:spPr>
                      <wps:txbx>
                        <w:txbxContent>
                          <w:p w14:paraId="15F563C2" w14:textId="292B4B94" w:rsidR="00185AC3" w:rsidRDefault="00185AC3" w:rsidP="00185AC3">
                            <w:pPr>
                              <w:rPr>
                                <w:rStyle w:val="normaltextrun"/>
                                <w:rFonts w:ascii="Calibri" w:hAnsi="Calibri" w:cs="Calibri"/>
                                <w:color w:val="000000"/>
                              </w:rPr>
                            </w:pPr>
                            <w:r>
                              <w:rPr>
                                <w:rStyle w:val="normaltextrun"/>
                                <w:rFonts w:ascii="Calibri" w:hAnsi="Calibri" w:cs="Calibri"/>
                                <w:b/>
                                <w:bCs/>
                                <w:color w:val="000000"/>
                              </w:rPr>
                              <w:t>Summary:</w:t>
                            </w:r>
                            <w:r w:rsidDel="00A64403">
                              <w:rPr>
                                <w:rStyle w:val="normaltextrun"/>
                                <w:rFonts w:ascii="Calibri" w:hAnsi="Calibri" w:cs="Calibri"/>
                                <w:b/>
                                <w:color w:val="000000"/>
                              </w:rPr>
                              <w:t xml:space="preserve"> </w:t>
                            </w:r>
                            <w:r>
                              <w:rPr>
                                <w:rStyle w:val="normaltextrun"/>
                                <w:rFonts w:ascii="Calibri" w:hAnsi="Calibri" w:cs="Calibri"/>
                                <w:color w:val="000000"/>
                              </w:rPr>
                              <w:t xml:space="preserve">The DSB will treat the cost of the initial build and any subsequent investment in system enhancements as capital expenditure and will amortize these costs over </w:t>
                            </w:r>
                            <w:proofErr w:type="gramStart"/>
                            <w:r>
                              <w:rPr>
                                <w:rStyle w:val="normaltextrun"/>
                                <w:rFonts w:ascii="Calibri" w:hAnsi="Calibri" w:cs="Calibri"/>
                                <w:color w:val="000000"/>
                              </w:rPr>
                              <w:t>a number of</w:t>
                            </w:r>
                            <w:proofErr w:type="gramEnd"/>
                            <w:r>
                              <w:rPr>
                                <w:rStyle w:val="normaltextrun"/>
                                <w:rFonts w:ascii="Calibri" w:hAnsi="Calibri" w:cs="Calibri"/>
                                <w:color w:val="000000"/>
                              </w:rPr>
                              <w:t xml:space="preserve"> years, as per generally </w:t>
                            </w:r>
                            <w:r w:rsidR="00C747E7">
                              <w:rPr>
                                <w:rStyle w:val="normaltextrun"/>
                                <w:rFonts w:ascii="Calibri" w:hAnsi="Calibri" w:cs="Calibri"/>
                                <w:color w:val="000000"/>
                              </w:rPr>
                              <w:t>accepted accounting</w:t>
                            </w:r>
                            <w:r>
                              <w:rPr>
                                <w:rStyle w:val="normaltextrun"/>
                                <w:rFonts w:ascii="Calibri" w:hAnsi="Calibri" w:cs="Calibri"/>
                                <w:color w:val="000000"/>
                              </w:rPr>
                              <w:t xml:space="preserve"> principles.</w:t>
                            </w:r>
                          </w:p>
                          <w:p w14:paraId="0200D29C" w14:textId="77777777" w:rsidR="00185AC3" w:rsidRPr="006F6406" w:rsidRDefault="00185AC3" w:rsidP="00185AC3">
                            <w:pPr>
                              <w:rPr>
                                <w:rStyle w:val="normaltextrun"/>
                                <w:rFonts w:ascii="Calibri" w:hAnsi="Calibri" w:cs="Calibri"/>
                                <w:color w:val="000000"/>
                              </w:rPr>
                            </w:pPr>
                            <w:r>
                              <w:rPr>
                                <w:rStyle w:val="normaltextrun"/>
                                <w:rFonts w:ascii="Calibri" w:hAnsi="Calibri" w:cs="Calibri"/>
                                <w:color w:val="000000"/>
                              </w:rPr>
                              <w:t>The DSB proposes to amortize the capital expenditures over 4 years, starting from the first full year when the service benefits from the capital expenditure. This approach is consistent with the DSB’s existing capital expenditure policy.</w:t>
                            </w:r>
                          </w:p>
                          <w:p w14:paraId="749C68EF" w14:textId="3DEBAF35" w:rsidR="00185AC3" w:rsidRDefault="00185AC3" w:rsidP="00185AC3">
                            <w:pPr>
                              <w:rPr>
                                <w:rStyle w:val="normaltextrun"/>
                                <w:rFonts w:ascii="Calibri" w:hAnsi="Calibri" w:cs="Calibri"/>
                                <w:b/>
                                <w:i/>
                                <w:color w:val="000000"/>
                              </w:rPr>
                            </w:pPr>
                            <w:r>
                              <w:rPr>
                                <w:rStyle w:val="normaltextrun"/>
                                <w:rFonts w:ascii="Calibri" w:hAnsi="Calibri" w:cs="Calibri"/>
                                <w:b/>
                                <w:bCs/>
                                <w:color w:val="000000"/>
                              </w:rPr>
                              <w:t>Question 8:</w:t>
                            </w:r>
                            <w:r w:rsidDel="00A64403">
                              <w:rPr>
                                <w:rStyle w:val="normaltextrun"/>
                                <w:rFonts w:ascii="Calibri" w:hAnsi="Calibri" w:cs="Calibri"/>
                                <w:b/>
                                <w:color w:val="000000"/>
                              </w:rPr>
                              <w:t xml:space="preserve"> </w:t>
                            </w:r>
                            <w:r w:rsidRPr="00E63BBE">
                              <w:rPr>
                                <w:rStyle w:val="normaltextrun"/>
                                <w:rFonts w:ascii="Calibri" w:hAnsi="Calibri" w:cs="Calibri"/>
                                <w:b/>
                                <w:i/>
                                <w:color w:val="000000"/>
                              </w:rPr>
                              <w:t xml:space="preserve">Do you agree with the DSB’s approach to </w:t>
                            </w:r>
                            <w:r w:rsidR="008401A2" w:rsidRPr="00E63BBE">
                              <w:rPr>
                                <w:rStyle w:val="normaltextrun"/>
                                <w:rFonts w:ascii="Calibri" w:hAnsi="Calibri" w:cs="Calibri"/>
                                <w:b/>
                                <w:i/>
                                <w:color w:val="000000"/>
                              </w:rPr>
                              <w:t>amorti</w:t>
                            </w:r>
                            <w:r w:rsidR="008401A2">
                              <w:rPr>
                                <w:rStyle w:val="normaltextrun"/>
                                <w:rFonts w:ascii="Calibri" w:hAnsi="Calibri" w:cs="Calibri"/>
                                <w:b/>
                                <w:i/>
                                <w:color w:val="000000"/>
                              </w:rPr>
                              <w:t>s</w:t>
                            </w:r>
                            <w:r w:rsidR="008401A2" w:rsidRPr="00E63BBE">
                              <w:rPr>
                                <w:rStyle w:val="normaltextrun"/>
                                <w:rFonts w:ascii="Calibri" w:hAnsi="Calibri" w:cs="Calibri"/>
                                <w:b/>
                                <w:i/>
                                <w:color w:val="000000"/>
                              </w:rPr>
                              <w:t xml:space="preserve">ation </w:t>
                            </w:r>
                            <w:r w:rsidRPr="00E63BBE">
                              <w:rPr>
                                <w:rStyle w:val="normaltextrun"/>
                                <w:rFonts w:ascii="Calibri" w:hAnsi="Calibri" w:cs="Calibri"/>
                                <w:b/>
                                <w:i/>
                                <w:color w:val="000000"/>
                              </w:rPr>
                              <w:t>of its capital expenditure over 4 years, starting from the first full year when the service benefits from the capital expenditure?</w:t>
                            </w:r>
                          </w:p>
                          <w:p w14:paraId="2F7296DB" w14:textId="77777777" w:rsidR="00185AC3" w:rsidRPr="00F51E0E" w:rsidRDefault="00185AC3" w:rsidP="00185AC3">
                            <w:pPr>
                              <w:rPr>
                                <w:rStyle w:val="normaltextrun"/>
                                <w:rFonts w:cstheme="minorHAnsi"/>
                                <w:b/>
                                <w:bCs/>
                                <w:color w:val="0070C0"/>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27310" id="Text Box 10" o:spid="_x0000_s1034" type="#_x0000_t202" style="position:absolute;left:0;text-align:left;margin-left:0;margin-top:19.85pt;width:450.15pt;height:158.8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" strokecolor="#04aeb9">
                <v:textbox>
                  <w:txbxContent>
                    <w:p w14:paraId="15F563C2" w14:textId="292B4B94" w:rsidR="00185AC3" w:rsidRDefault="00185AC3" w:rsidP="00185AC3">
                      <w:pPr>
                        <w:rPr>
                          <w:rStyle w:val="normaltextrun"/>
                          <w:rFonts w:ascii="Calibri" w:hAnsi="Calibri" w:cs="Calibri"/>
                          <w:color w:val="000000"/>
                        </w:rPr>
                      </w:pPr>
                      <w:r>
                        <w:rPr>
                          <w:rStyle w:val="normaltextrun"/>
                          <w:rFonts w:ascii="Calibri" w:hAnsi="Calibri" w:cs="Calibri"/>
                          <w:b/>
                          <w:bCs/>
                          <w:color w:val="000000"/>
                        </w:rPr>
                        <w:t>Summary:</w:t>
                      </w:r>
                      <w:r w:rsidDel="00A64403">
                        <w:rPr>
                          <w:rStyle w:val="normaltextrun"/>
                          <w:rFonts w:ascii="Calibri" w:hAnsi="Calibri" w:cs="Calibri"/>
                          <w:b/>
                          <w:color w:val="000000"/>
                        </w:rPr>
                        <w:t xml:space="preserve"> </w:t>
                      </w:r>
                      <w:r>
                        <w:rPr>
                          <w:rStyle w:val="normaltextrun"/>
                          <w:rFonts w:ascii="Calibri" w:hAnsi="Calibri" w:cs="Calibri"/>
                          <w:color w:val="000000"/>
                        </w:rPr>
                        <w:t xml:space="preserve">The DSB will treat the cost of the initial build and any subsequent investment in system enhancements as capital expenditure and will amortize these costs over </w:t>
                      </w:r>
                      <w:proofErr w:type="gramStart"/>
                      <w:r>
                        <w:rPr>
                          <w:rStyle w:val="normaltextrun"/>
                          <w:rFonts w:ascii="Calibri" w:hAnsi="Calibri" w:cs="Calibri"/>
                          <w:color w:val="000000"/>
                        </w:rPr>
                        <w:t>a number of</w:t>
                      </w:r>
                      <w:proofErr w:type="gramEnd"/>
                      <w:r>
                        <w:rPr>
                          <w:rStyle w:val="normaltextrun"/>
                          <w:rFonts w:ascii="Calibri" w:hAnsi="Calibri" w:cs="Calibri"/>
                          <w:color w:val="000000"/>
                        </w:rPr>
                        <w:t xml:space="preserve"> years, as per generally </w:t>
                      </w:r>
                      <w:r w:rsidR="00C747E7">
                        <w:rPr>
                          <w:rStyle w:val="normaltextrun"/>
                          <w:rFonts w:ascii="Calibri" w:hAnsi="Calibri" w:cs="Calibri"/>
                          <w:color w:val="000000"/>
                        </w:rPr>
                        <w:t>accepted accounting</w:t>
                      </w:r>
                      <w:r>
                        <w:rPr>
                          <w:rStyle w:val="normaltextrun"/>
                          <w:rFonts w:ascii="Calibri" w:hAnsi="Calibri" w:cs="Calibri"/>
                          <w:color w:val="000000"/>
                        </w:rPr>
                        <w:t xml:space="preserve"> principles.</w:t>
                      </w:r>
                    </w:p>
                    <w:p w14:paraId="0200D29C" w14:textId="77777777" w:rsidR="00185AC3" w:rsidRPr="006F6406" w:rsidRDefault="00185AC3" w:rsidP="00185AC3">
                      <w:pPr>
                        <w:rPr>
                          <w:rStyle w:val="normaltextrun"/>
                          <w:rFonts w:ascii="Calibri" w:hAnsi="Calibri" w:cs="Calibri"/>
                          <w:color w:val="000000"/>
                        </w:rPr>
                      </w:pPr>
                      <w:r>
                        <w:rPr>
                          <w:rStyle w:val="normaltextrun"/>
                          <w:rFonts w:ascii="Calibri" w:hAnsi="Calibri" w:cs="Calibri"/>
                          <w:color w:val="000000"/>
                        </w:rPr>
                        <w:t>The DSB proposes to amortize the capital expenditures over 4 years, starting from the first full year when the service benefits from the capital expenditure. This approach is consistent with the DSB’s existing capital expenditure policy.</w:t>
                      </w:r>
                    </w:p>
                    <w:p w14:paraId="749C68EF" w14:textId="3DEBAF35" w:rsidR="00185AC3" w:rsidRDefault="00185AC3" w:rsidP="00185AC3">
                      <w:pPr>
                        <w:rPr>
                          <w:rStyle w:val="normaltextrun"/>
                          <w:rFonts w:ascii="Calibri" w:hAnsi="Calibri" w:cs="Calibri"/>
                          <w:b/>
                          <w:i/>
                          <w:color w:val="000000"/>
                        </w:rPr>
                      </w:pPr>
                      <w:r>
                        <w:rPr>
                          <w:rStyle w:val="normaltextrun"/>
                          <w:rFonts w:ascii="Calibri" w:hAnsi="Calibri" w:cs="Calibri"/>
                          <w:b/>
                          <w:bCs/>
                          <w:color w:val="000000"/>
                        </w:rPr>
                        <w:t>Question 8:</w:t>
                      </w:r>
                      <w:r w:rsidDel="00A64403">
                        <w:rPr>
                          <w:rStyle w:val="normaltextrun"/>
                          <w:rFonts w:ascii="Calibri" w:hAnsi="Calibri" w:cs="Calibri"/>
                          <w:b/>
                          <w:color w:val="000000"/>
                        </w:rPr>
                        <w:t xml:space="preserve"> </w:t>
                      </w:r>
                      <w:r w:rsidRPr="00E63BBE">
                        <w:rPr>
                          <w:rStyle w:val="normaltextrun"/>
                          <w:rFonts w:ascii="Calibri" w:hAnsi="Calibri" w:cs="Calibri"/>
                          <w:b/>
                          <w:i/>
                          <w:color w:val="000000"/>
                        </w:rPr>
                        <w:t xml:space="preserve">Do you agree with the DSB’s approach to </w:t>
                      </w:r>
                      <w:r w:rsidR="008401A2" w:rsidRPr="00E63BBE">
                        <w:rPr>
                          <w:rStyle w:val="normaltextrun"/>
                          <w:rFonts w:ascii="Calibri" w:hAnsi="Calibri" w:cs="Calibri"/>
                          <w:b/>
                          <w:i/>
                          <w:color w:val="000000"/>
                        </w:rPr>
                        <w:t>amorti</w:t>
                      </w:r>
                      <w:r w:rsidR="008401A2">
                        <w:rPr>
                          <w:rStyle w:val="normaltextrun"/>
                          <w:rFonts w:ascii="Calibri" w:hAnsi="Calibri" w:cs="Calibri"/>
                          <w:b/>
                          <w:i/>
                          <w:color w:val="000000"/>
                        </w:rPr>
                        <w:t>s</w:t>
                      </w:r>
                      <w:r w:rsidR="008401A2" w:rsidRPr="00E63BBE">
                        <w:rPr>
                          <w:rStyle w:val="normaltextrun"/>
                          <w:rFonts w:ascii="Calibri" w:hAnsi="Calibri" w:cs="Calibri"/>
                          <w:b/>
                          <w:i/>
                          <w:color w:val="000000"/>
                        </w:rPr>
                        <w:t xml:space="preserve">ation </w:t>
                      </w:r>
                      <w:r w:rsidRPr="00E63BBE">
                        <w:rPr>
                          <w:rStyle w:val="normaltextrun"/>
                          <w:rFonts w:ascii="Calibri" w:hAnsi="Calibri" w:cs="Calibri"/>
                          <w:b/>
                          <w:i/>
                          <w:color w:val="000000"/>
                        </w:rPr>
                        <w:t>of its capital expenditure over 4 years, starting from the first full year when the service benefits from the capital expenditure?</w:t>
                      </w:r>
                    </w:p>
                    <w:p w14:paraId="2F7296DB" w14:textId="77777777" w:rsidR="00185AC3" w:rsidRPr="00F51E0E" w:rsidRDefault="00185AC3" w:rsidP="00185AC3">
                      <w:pPr>
                        <w:rPr>
                          <w:rStyle w:val="normaltextrun"/>
                          <w:rFonts w:cstheme="minorHAnsi"/>
                          <w:b/>
                          <w:bCs/>
                          <w:color w:val="0070C0"/>
                          <w:lang w:eastAsia="ja-JP"/>
                        </w:rPr>
                      </w:pPr>
                    </w:p>
                  </w:txbxContent>
                </v:textbox>
                <w10:wrap type="square" anchorx="margin"/>
              </v:shape>
            </w:pict>
          </mc:Fallback>
        </mc:AlternateContent>
      </w:r>
      <w:r>
        <w:t xml:space="preserve">Q8 – Capital Expenditure </w:t>
      </w:r>
      <w:r w:rsidR="008401A2">
        <w:t xml:space="preserve">Amortisation </w:t>
      </w:r>
      <w:r>
        <w:t>Approach</w:t>
      </w:r>
      <w:bookmarkEnd w:id="592"/>
      <w:bookmarkEnd w:id="593"/>
      <w:bookmarkEnd w:id="594"/>
      <w:bookmarkEnd w:id="595"/>
      <w:r>
        <w:t xml:space="preserve">  </w:t>
      </w:r>
    </w:p>
    <w:p w14:paraId="6A2FCE8E" w14:textId="6DA38583" w:rsidR="00185AC3" w:rsidRPr="002B116E" w:rsidRDefault="00185AC3" w:rsidP="00881936">
      <w:pPr>
        <w:spacing w:before="240" w:line="276" w:lineRule="auto"/>
        <w:jc w:val="both"/>
        <w:rPr>
          <w:u w:val="single"/>
        </w:rPr>
      </w:pPr>
      <w:r w:rsidRPr="002B116E">
        <w:rPr>
          <w:u w:val="single"/>
        </w:rPr>
        <w:t>Supporting Information:</w:t>
      </w:r>
    </w:p>
    <w:p w14:paraId="4714177F" w14:textId="77777777" w:rsidR="00185AC3" w:rsidRPr="002B116E" w:rsidRDefault="00185AC3" w:rsidP="003F6833">
      <w:pPr>
        <w:spacing w:line="276" w:lineRule="auto"/>
        <w:rPr>
          <w:rStyle w:val="normaltextrun"/>
          <w:rFonts w:ascii="Calibri" w:hAnsi="Calibri" w:cs="Calibri"/>
          <w:color w:val="000000"/>
        </w:rPr>
      </w:pPr>
      <w:r w:rsidRPr="002B116E">
        <w:rPr>
          <w:rStyle w:val="normaltextrun"/>
          <w:rFonts w:cstheme="minorHAnsi"/>
          <w:bCs/>
          <w:color w:val="000000"/>
        </w:rPr>
        <w:t xml:space="preserve"> </w:t>
      </w:r>
      <w:proofErr w:type="gramStart"/>
      <w:r w:rsidRPr="002B116E">
        <w:rPr>
          <w:rStyle w:val="normaltextrun"/>
          <w:rFonts w:cstheme="minorHAnsi"/>
          <w:bCs/>
          <w:color w:val="000000"/>
        </w:rPr>
        <w:t>In order to</w:t>
      </w:r>
      <w:proofErr w:type="gramEnd"/>
      <w:r w:rsidRPr="002B116E">
        <w:rPr>
          <w:rStyle w:val="normaltextrun"/>
          <w:rFonts w:cstheme="minorHAnsi"/>
          <w:bCs/>
          <w:color w:val="000000"/>
        </w:rPr>
        <w:t xml:space="preserve"> follow accounting best practice, </w:t>
      </w:r>
      <w:r w:rsidRPr="002B116E">
        <w:rPr>
          <w:rStyle w:val="normaltextrun"/>
          <w:rFonts w:ascii="Calibri" w:hAnsi="Calibri" w:cs="Calibri"/>
          <w:color w:val="000000"/>
        </w:rPr>
        <w:t>the DSB categorizes all UPI costs into either capital expenditure or operating expenditure. Feedback from the DSB’s existing users has been that it is appropriate to recover operating expenditure from the user base in the year it has been incurred but that recovering the entire capital expenditure in the year it is incurred will result in a disproportionate burden of costs falling on initial users, with later users not contributing to the ‘sunk cost’ of the initial investments.</w:t>
      </w:r>
    </w:p>
    <w:p w14:paraId="68D62AEA" w14:textId="14BBAE5B" w:rsidR="00185AC3" w:rsidRPr="002B116E" w:rsidRDefault="00185AC3" w:rsidP="003F6833">
      <w:pPr>
        <w:spacing w:line="276" w:lineRule="auto"/>
        <w:rPr>
          <w:rStyle w:val="normaltextrun"/>
          <w:rFonts w:ascii="Calibri" w:hAnsi="Calibri" w:cs="Calibri"/>
          <w:color w:val="000000"/>
        </w:rPr>
      </w:pPr>
      <w:r w:rsidRPr="002B116E">
        <w:rPr>
          <w:rStyle w:val="normaltextrun"/>
          <w:rFonts w:ascii="Calibri" w:hAnsi="Calibri" w:cs="Calibri"/>
          <w:color w:val="000000"/>
        </w:rPr>
        <w:t xml:space="preserve">Satisfying this approach requires amortizing capital expenditure over </w:t>
      </w:r>
      <w:proofErr w:type="gramStart"/>
      <w:r w:rsidRPr="002B116E">
        <w:rPr>
          <w:rStyle w:val="normaltextrun"/>
          <w:rFonts w:ascii="Calibri" w:hAnsi="Calibri" w:cs="Calibri"/>
          <w:color w:val="000000"/>
        </w:rPr>
        <w:t>a number of</w:t>
      </w:r>
      <w:proofErr w:type="gramEnd"/>
      <w:r w:rsidRPr="002B116E">
        <w:rPr>
          <w:rStyle w:val="normaltextrun"/>
          <w:rFonts w:ascii="Calibri" w:hAnsi="Calibri" w:cs="Calibri"/>
          <w:color w:val="000000"/>
        </w:rPr>
        <w:t xml:space="preserve"> years rather than in a single year. A long </w:t>
      </w:r>
      <w:r w:rsidR="008401A2" w:rsidRPr="002B116E">
        <w:rPr>
          <w:rStyle w:val="normaltextrun"/>
          <w:rFonts w:ascii="Calibri" w:hAnsi="Calibri" w:cs="Calibri"/>
          <w:color w:val="000000"/>
        </w:rPr>
        <w:t>amorti</w:t>
      </w:r>
      <w:r w:rsidR="008401A2">
        <w:rPr>
          <w:rStyle w:val="normaltextrun"/>
          <w:rFonts w:ascii="Calibri" w:hAnsi="Calibri" w:cs="Calibri"/>
          <w:color w:val="000000"/>
        </w:rPr>
        <w:t>s</w:t>
      </w:r>
      <w:r w:rsidR="008401A2" w:rsidRPr="002B116E">
        <w:rPr>
          <w:rStyle w:val="normaltextrun"/>
          <w:rFonts w:ascii="Calibri" w:hAnsi="Calibri" w:cs="Calibri"/>
          <w:color w:val="000000"/>
        </w:rPr>
        <w:t>ation</w:t>
      </w:r>
      <w:r w:rsidRPr="002B116E">
        <w:rPr>
          <w:rStyle w:val="normaltextrun"/>
          <w:rFonts w:ascii="Calibri" w:hAnsi="Calibri" w:cs="Calibri"/>
          <w:color w:val="000000"/>
        </w:rPr>
        <w:t xml:space="preserve"> period reduces the short-term costs whilst increasing the number of years that the capital expenditure is recovered. The impact of the longer duration is that costs stay elevated and do not reduce to cover only the underlying operating expenditure. A shorter </w:t>
      </w:r>
      <w:r w:rsidR="008401A2" w:rsidRPr="002B116E">
        <w:rPr>
          <w:rStyle w:val="normaltextrun"/>
          <w:rFonts w:ascii="Calibri" w:hAnsi="Calibri" w:cs="Calibri"/>
          <w:color w:val="000000"/>
        </w:rPr>
        <w:t>amorti</w:t>
      </w:r>
      <w:r w:rsidR="008401A2">
        <w:rPr>
          <w:rStyle w:val="normaltextrun"/>
          <w:rFonts w:ascii="Calibri" w:hAnsi="Calibri" w:cs="Calibri"/>
          <w:color w:val="000000"/>
        </w:rPr>
        <w:t>s</w:t>
      </w:r>
      <w:r w:rsidR="008401A2" w:rsidRPr="002B116E">
        <w:rPr>
          <w:rStyle w:val="normaltextrun"/>
          <w:rFonts w:ascii="Calibri" w:hAnsi="Calibri" w:cs="Calibri"/>
          <w:color w:val="000000"/>
        </w:rPr>
        <w:t>ation</w:t>
      </w:r>
      <w:r w:rsidRPr="002B116E">
        <w:rPr>
          <w:rStyle w:val="normaltextrun"/>
          <w:rFonts w:ascii="Calibri" w:hAnsi="Calibri" w:cs="Calibri"/>
          <w:color w:val="000000"/>
        </w:rPr>
        <w:t xml:space="preserve"> period has the reverse impact.</w:t>
      </w:r>
    </w:p>
    <w:p w14:paraId="7B3953A8" w14:textId="77777777" w:rsidR="00185AC3" w:rsidRPr="002B116E" w:rsidRDefault="00185AC3" w:rsidP="003F6833">
      <w:pPr>
        <w:spacing w:line="276" w:lineRule="auto"/>
        <w:rPr>
          <w:rStyle w:val="normaltextrun"/>
          <w:rFonts w:ascii="Calibri" w:hAnsi="Calibri" w:cs="Calibri"/>
          <w:color w:val="000000"/>
        </w:rPr>
      </w:pPr>
      <w:r w:rsidRPr="002B116E">
        <w:rPr>
          <w:rStyle w:val="normaltextrun"/>
          <w:rFonts w:ascii="Calibri" w:hAnsi="Calibri" w:cs="Calibri"/>
          <w:color w:val="000000"/>
        </w:rPr>
        <w:lastRenderedPageBreak/>
        <w:t>The DSB’s existing capital expenditure policy is to amortize the capital expenditure over 4 years, starting from the first full year when the service benefits from the capital expenditure.</w:t>
      </w:r>
    </w:p>
    <w:p w14:paraId="614B4F83" w14:textId="77777777" w:rsidR="00185AC3" w:rsidRPr="002B116E" w:rsidRDefault="00185AC3" w:rsidP="003F6833">
      <w:pPr>
        <w:spacing w:after="360" w:line="276" w:lineRule="auto"/>
        <w:rPr>
          <w:rStyle w:val="normaltextrun"/>
          <w:rFonts w:ascii="Calibri" w:hAnsi="Calibri" w:cs="Calibri"/>
          <w:color w:val="000000"/>
        </w:rPr>
      </w:pPr>
      <w:r w:rsidRPr="002B116E">
        <w:rPr>
          <w:rStyle w:val="normaltextrun"/>
          <w:rFonts w:ascii="Calibri" w:hAnsi="Calibri" w:cs="Calibri"/>
          <w:color w:val="000000"/>
        </w:rPr>
        <w:t>While there is no necessity for the UPI service’s capital expenditure policy to align with the DSB’s existing policy, the DSB notes that such alignment will simplify the DSB’s accounting processes and aligns with accounting practices for IT systems and software depreciation.</w:t>
      </w:r>
    </w:p>
    <w:p w14:paraId="21363B9E" w14:textId="77777777" w:rsidR="00185AC3" w:rsidRPr="002B116E" w:rsidRDefault="00185AC3" w:rsidP="0048715D">
      <w:pPr>
        <w:pStyle w:val="NormalWeb"/>
        <w:shd w:val="clear" w:color="auto" w:fill="FFFFFF" w:themeFill="background1"/>
        <w:spacing w:before="0" w:beforeAutospacing="0" w:after="120" w:afterAutospacing="0" w:line="276" w:lineRule="auto"/>
        <w:textAlignment w:val="baseline"/>
        <w:rPr>
          <w:rStyle w:val="normaltextrun"/>
          <w:rFonts w:asciiTheme="minorHAnsi" w:hAnsiTheme="minorHAnsi" w:cstheme="minorHAnsi"/>
          <w:bCs/>
          <w:sz w:val="22"/>
          <w:szCs w:val="22"/>
          <w:u w:val="single"/>
        </w:rPr>
      </w:pPr>
      <w:r w:rsidRPr="002B116E">
        <w:rPr>
          <w:rStyle w:val="normaltextrun"/>
          <w:rFonts w:asciiTheme="minorHAnsi" w:hAnsiTheme="minorHAnsi" w:cstheme="minorHAnsi"/>
          <w:b/>
          <w:sz w:val="22"/>
          <w:szCs w:val="22"/>
          <w:u w:val="single"/>
        </w:rPr>
        <w:t>DSB Proposal:</w:t>
      </w:r>
      <w:r w:rsidRPr="002B116E">
        <w:rPr>
          <w:rStyle w:val="normaltextrun"/>
          <w:rFonts w:asciiTheme="minorHAnsi" w:hAnsiTheme="minorHAnsi" w:cstheme="minorHAnsi"/>
          <w:bCs/>
          <w:sz w:val="22"/>
          <w:szCs w:val="22"/>
          <w:u w:val="single"/>
        </w:rPr>
        <w:t xml:space="preserve"> </w:t>
      </w:r>
    </w:p>
    <w:p w14:paraId="3899ECDF" w14:textId="77777777" w:rsidR="00185AC3" w:rsidRPr="002B116E" w:rsidRDefault="00185AC3" w:rsidP="003F6833">
      <w:pPr>
        <w:spacing w:line="276" w:lineRule="auto"/>
        <w:rPr>
          <w:rStyle w:val="normaltextrun"/>
          <w:rFonts w:ascii="Calibri" w:hAnsi="Calibri" w:cs="Calibri"/>
          <w:color w:val="000000"/>
        </w:rPr>
      </w:pPr>
      <w:r w:rsidRPr="002B116E">
        <w:rPr>
          <w:rStyle w:val="normaltextrun"/>
          <w:rFonts w:ascii="Calibri" w:hAnsi="Calibri" w:cs="Calibri"/>
          <w:color w:val="000000"/>
        </w:rPr>
        <w:t>The DSB proposes to recover operating expenditure on the UPI service from the user base in the year it has been incurred.</w:t>
      </w:r>
    </w:p>
    <w:p w14:paraId="04210400" w14:textId="524D05CE" w:rsidR="00185AC3" w:rsidRPr="002B116E" w:rsidRDefault="00185AC3" w:rsidP="003F6833">
      <w:pPr>
        <w:spacing w:line="276" w:lineRule="auto"/>
        <w:rPr>
          <w:rStyle w:val="normaltextrun"/>
          <w:rFonts w:ascii="Calibri" w:hAnsi="Calibri" w:cs="Calibri"/>
          <w:color w:val="000000"/>
        </w:rPr>
      </w:pPr>
      <w:r w:rsidRPr="002B116E">
        <w:rPr>
          <w:rStyle w:val="normaltextrun"/>
          <w:rFonts w:ascii="Calibri" w:hAnsi="Calibri" w:cs="Calibri"/>
          <w:color w:val="000000"/>
        </w:rPr>
        <w:t xml:space="preserve">In the absence of any information to the contrary, the DSB proposes to recover capital expenditure on the UPI service by extending its existing capital expenditure </w:t>
      </w:r>
      <w:r w:rsidR="008401A2" w:rsidRPr="002B116E">
        <w:rPr>
          <w:rStyle w:val="normaltextrun"/>
          <w:rFonts w:ascii="Calibri" w:hAnsi="Calibri" w:cs="Calibri"/>
          <w:color w:val="000000"/>
        </w:rPr>
        <w:t>amorti</w:t>
      </w:r>
      <w:r w:rsidR="008401A2">
        <w:rPr>
          <w:rStyle w:val="normaltextrun"/>
          <w:rFonts w:ascii="Calibri" w:hAnsi="Calibri" w:cs="Calibri"/>
          <w:color w:val="000000"/>
        </w:rPr>
        <w:t>s</w:t>
      </w:r>
      <w:r w:rsidR="008401A2" w:rsidRPr="002B116E">
        <w:rPr>
          <w:rStyle w:val="normaltextrun"/>
          <w:rFonts w:ascii="Calibri" w:hAnsi="Calibri" w:cs="Calibri"/>
          <w:color w:val="000000"/>
        </w:rPr>
        <w:t xml:space="preserve">ation </w:t>
      </w:r>
      <w:r w:rsidRPr="002B116E">
        <w:rPr>
          <w:rStyle w:val="normaltextrun"/>
          <w:rFonts w:ascii="Calibri" w:hAnsi="Calibri" w:cs="Calibri"/>
          <w:color w:val="000000"/>
        </w:rPr>
        <w:t>policy to the UPI service. This will entail amortizing the capital expenditure over 4 years, starting from the first full year when the service benefits from the capital expenditure</w:t>
      </w:r>
      <w:r w:rsidR="00F53BDE">
        <w:rPr>
          <w:rStyle w:val="normaltextrun"/>
          <w:rFonts w:ascii="Calibri" w:hAnsi="Calibri" w:cs="Calibri"/>
          <w:color w:val="000000"/>
        </w:rPr>
        <w:t>.</w:t>
      </w:r>
    </w:p>
    <w:p w14:paraId="01A33771" w14:textId="75259DC5" w:rsidR="00185AC3" w:rsidRPr="002B116E" w:rsidRDefault="00185AC3" w:rsidP="003F6833">
      <w:pPr>
        <w:spacing w:line="276" w:lineRule="auto"/>
        <w:rPr>
          <w:rStyle w:val="normaltextrun"/>
          <w:rFonts w:ascii="Calibri" w:hAnsi="Calibri" w:cs="Calibri"/>
          <w:color w:val="000000"/>
        </w:rPr>
      </w:pPr>
      <w:r w:rsidRPr="002B116E">
        <w:rPr>
          <w:rStyle w:val="normaltextrun"/>
          <w:rFonts w:ascii="Calibri" w:hAnsi="Calibri" w:cs="Calibri"/>
          <w:color w:val="000000"/>
        </w:rPr>
        <w:t xml:space="preserve">For example, the UPI service is planned to go live </w:t>
      </w:r>
      <w:r w:rsidR="00C747E7" w:rsidRPr="002B116E">
        <w:rPr>
          <w:rStyle w:val="normaltextrun"/>
          <w:rFonts w:ascii="Calibri" w:hAnsi="Calibri" w:cs="Calibri"/>
          <w:color w:val="000000"/>
        </w:rPr>
        <w:t>mid-2022</w:t>
      </w:r>
      <w:r w:rsidRPr="002B116E">
        <w:rPr>
          <w:rStyle w:val="normaltextrun"/>
          <w:rFonts w:ascii="Calibri" w:hAnsi="Calibri" w:cs="Calibri"/>
          <w:color w:val="000000"/>
        </w:rPr>
        <w:t>. Therefore, one quarter of the cost of building the service will be added to the operating cost of the service in each year from 2023 until 2026. From 2027 onwards, the original capital expenditure for building the service will have been fully amortized and therefore user fees will no longer incorporate this additional cost. The same approach will be applied to any subsequent capital expenditure incurred.</w:t>
      </w:r>
    </w:p>
    <w:p w14:paraId="6D928971" w14:textId="77777777" w:rsidR="00185AC3" w:rsidRPr="002B116E" w:rsidRDefault="00185AC3" w:rsidP="003F6833">
      <w:pPr>
        <w:spacing w:after="120" w:line="276" w:lineRule="auto"/>
        <w:jc w:val="both"/>
        <w:rPr>
          <w:u w:val="single"/>
        </w:rPr>
      </w:pPr>
      <w:r w:rsidRPr="002B116E">
        <w:rPr>
          <w:u w:val="single"/>
        </w:rPr>
        <w:t>Alternative Options</w:t>
      </w:r>
    </w:p>
    <w:p w14:paraId="29AFB861" w14:textId="39CDAFDB" w:rsidR="00185AC3" w:rsidRPr="002B116E" w:rsidRDefault="00185AC3" w:rsidP="003F6833">
      <w:pPr>
        <w:spacing w:after="360" w:line="276" w:lineRule="auto"/>
        <w:jc w:val="both"/>
      </w:pPr>
      <w:r w:rsidRPr="002B116E">
        <w:t>The DSB also considered periods other than 4 years for the amorti</w:t>
      </w:r>
      <w:r w:rsidR="008401A2">
        <w:t>s</w:t>
      </w:r>
      <w:r w:rsidRPr="002B116E">
        <w:t>ation of capital expenditure. However, feedback from the DSB’s existing user base suggested that a period less than 4 years would place a disproportionate cost burden on users in the early years, while a longer period would be difficult to justify given existing accounting practices for IT systems and software depreciation.</w:t>
      </w:r>
    </w:p>
    <w:p w14:paraId="554117B6" w14:textId="77777777" w:rsidR="00185AC3" w:rsidRDefault="00185AC3" w:rsidP="0048715D">
      <w:pPr>
        <w:pStyle w:val="Heading2"/>
        <w:spacing w:before="0" w:line="276" w:lineRule="auto"/>
      </w:pPr>
      <w:bookmarkStart w:id="596" w:name="_Toc60651795"/>
      <w:bookmarkStart w:id="597" w:name="_Toc61255937"/>
      <w:r>
        <w:t>Q9 – Any other comments</w:t>
      </w:r>
      <w:bookmarkEnd w:id="596"/>
      <w:bookmarkEnd w:id="597"/>
      <w:r>
        <w:t xml:space="preserve">   </w:t>
      </w:r>
    </w:p>
    <w:p w14:paraId="3D377CFB" w14:textId="77777777" w:rsidR="00185AC3" w:rsidRPr="002D69AC" w:rsidRDefault="00185AC3" w:rsidP="003F6833">
      <w:pPr>
        <w:spacing w:line="276" w:lineRule="auto"/>
        <w:jc w:val="both"/>
      </w:pPr>
      <w:r>
        <w:t xml:space="preserve">This section is an opportunity for respondents to provide feedback and commentary on any other aspects they believe should be considered. </w:t>
      </w:r>
    </w:p>
    <w:p w14:paraId="177817E1" w14:textId="77777777" w:rsidR="007470E9" w:rsidRDefault="007470E9">
      <w:pPr>
        <w:spacing w:line="276" w:lineRule="auto"/>
        <w:jc w:val="both"/>
        <w:rPr>
          <w:rFonts w:asciiTheme="majorHAnsi" w:eastAsiaTheme="majorEastAsia" w:hAnsiTheme="majorHAnsi" w:cstheme="majorBidi"/>
          <w:color w:val="30AEB9"/>
          <w:sz w:val="32"/>
          <w:szCs w:val="32"/>
        </w:rPr>
      </w:pPr>
      <w:r>
        <w:rPr>
          <w:color w:val="30AEB9"/>
        </w:rPr>
        <w:br w:type="page"/>
      </w:r>
    </w:p>
    <w:p w14:paraId="5F2B471E" w14:textId="5E55AA6E" w:rsidR="000B4A18" w:rsidRPr="003B1848" w:rsidRDefault="000B4A18" w:rsidP="007C0DF6">
      <w:pPr>
        <w:pStyle w:val="Heading1"/>
        <w:spacing w:before="0" w:line="276" w:lineRule="auto"/>
        <w:jc w:val="both"/>
        <w:rPr>
          <w:color w:val="30AEB9"/>
        </w:rPr>
      </w:pPr>
      <w:bookmarkStart w:id="598" w:name="_Toc61255938"/>
      <w:r w:rsidRPr="003B1848">
        <w:rPr>
          <w:color w:val="30AEB9"/>
        </w:rPr>
        <w:lastRenderedPageBreak/>
        <w:t>Appendices</w:t>
      </w:r>
      <w:bookmarkEnd w:id="1"/>
      <w:bookmarkEnd w:id="2"/>
      <w:bookmarkEnd w:id="3"/>
      <w:bookmarkEnd w:id="598"/>
    </w:p>
    <w:p w14:paraId="38E3EBA7" w14:textId="6FBC2689" w:rsidR="00F7617C" w:rsidRDefault="00F7617C" w:rsidP="007C0DF6">
      <w:pPr>
        <w:pStyle w:val="Heading2"/>
        <w:spacing w:before="0" w:line="276" w:lineRule="auto"/>
        <w:jc w:val="both"/>
        <w:rPr>
          <w:lang w:val="it-IT"/>
        </w:rPr>
      </w:pPr>
      <w:bookmarkStart w:id="599" w:name="_Toc471387452"/>
      <w:bookmarkStart w:id="600" w:name="_Toc471396367"/>
      <w:bookmarkStart w:id="601" w:name="_Toc471396411"/>
      <w:bookmarkStart w:id="602" w:name="_Toc485052496"/>
      <w:bookmarkStart w:id="603" w:name="_Toc485055103"/>
      <w:bookmarkStart w:id="604" w:name="_Toc485057512"/>
      <w:bookmarkStart w:id="605" w:name="_Toc485055110"/>
      <w:bookmarkStart w:id="606" w:name="_Toc485057518"/>
      <w:bookmarkStart w:id="607" w:name="_Appendix_3_-"/>
      <w:bookmarkStart w:id="608" w:name="_Ref57818686"/>
      <w:bookmarkStart w:id="609" w:name="_Toc13087163"/>
      <w:bookmarkStart w:id="610" w:name="_Toc38842418"/>
      <w:bookmarkStart w:id="611" w:name="_Toc61255939"/>
      <w:bookmarkEnd w:id="599"/>
      <w:bookmarkEnd w:id="600"/>
      <w:bookmarkEnd w:id="601"/>
      <w:bookmarkEnd w:id="602"/>
      <w:bookmarkEnd w:id="603"/>
      <w:bookmarkEnd w:id="604"/>
      <w:bookmarkEnd w:id="605"/>
      <w:bookmarkEnd w:id="606"/>
      <w:bookmarkEnd w:id="607"/>
      <w:r w:rsidRPr="00A958F2">
        <w:rPr>
          <w:lang w:val="it-IT"/>
        </w:rPr>
        <w:t>Appendix 1 – UP</w:t>
      </w:r>
      <w:r>
        <w:rPr>
          <w:lang w:val="it-IT"/>
        </w:rPr>
        <w:t>I Creation Estimates</w:t>
      </w:r>
      <w:bookmarkEnd w:id="608"/>
      <w:bookmarkEnd w:id="611"/>
      <w:r>
        <w:rPr>
          <w:lang w:val="it-IT"/>
        </w:rPr>
        <w:t xml:space="preserve"> </w:t>
      </w:r>
    </w:p>
    <w:p w14:paraId="238E596F" w14:textId="5E2218BB" w:rsidR="00FB169B" w:rsidRDefault="00FB169B" w:rsidP="00A958F2">
      <w:pPr>
        <w:spacing w:line="276" w:lineRule="auto"/>
        <w:jc w:val="both"/>
      </w:pPr>
      <w:r>
        <w:t xml:space="preserve">DSB estimates are based on an extract that uses the OTC ISIN records held by the DSB, with a sample of 27 products included, representing approximately 88% of the total number of OTC ISINs in the DSB database. The templates selected for this process focused on the 25 products with the most </w:t>
      </w:r>
      <w:r w:rsidR="001E51D4">
        <w:t xml:space="preserve">OTC </w:t>
      </w:r>
      <w:r>
        <w:t>ISINs however</w:t>
      </w:r>
      <w:r w:rsidR="001E51D4">
        <w:t>,</w:t>
      </w:r>
      <w:r>
        <w:t xml:space="preserve"> to demonstrate breadth of coverage, the sample was extended to include at least 4 entries for each asset class. </w:t>
      </w:r>
    </w:p>
    <w:p w14:paraId="2709A9D4" w14:textId="77777777" w:rsidR="00FB169B" w:rsidRDefault="00FB169B" w:rsidP="00A958F2">
      <w:pPr>
        <w:spacing w:line="276" w:lineRule="auto"/>
        <w:jc w:val="both"/>
      </w:pPr>
      <w:r>
        <w:t xml:space="preserve">The data provided in this section should be treated as a general guideline as utilisation of OTC ISIN on which the estimates below are based is a key but single indicator of UPI creation volumes. Eventual creation of the UPI will be determined by users’ specific regulatory reporting requirements, and as such not all OTC ISINs may result in an equivalent UPI being created, and similarly not all UPIs may result in the creation of an associated OTC ISIN. </w:t>
      </w:r>
    </w:p>
    <w:p w14:paraId="4712C241" w14:textId="5EDA7ED7" w:rsidR="00FB169B" w:rsidRPr="00B12BE7" w:rsidRDefault="00FB169B" w:rsidP="00A958F2">
      <w:pPr>
        <w:spacing w:line="276" w:lineRule="auto"/>
      </w:pPr>
      <w:r>
        <w:t xml:space="preserve">The estimates in this section are for the period from 2 Oct 2017 (when the OTC ISIN service was launched) up to and including </w:t>
      </w:r>
      <w:r w:rsidR="00880687">
        <w:t xml:space="preserve">30 September 2020. </w:t>
      </w:r>
    </w:p>
    <w:tbl>
      <w:tblPr>
        <w:tblW w:w="9209" w:type="dxa"/>
        <w:tblBorders>
          <w:top w:val="single" w:sz="4" w:space="0" w:color="30AEB9"/>
          <w:left w:val="single" w:sz="4" w:space="0" w:color="30AEB9"/>
          <w:bottom w:val="single" w:sz="4" w:space="0" w:color="30AEB9"/>
          <w:right w:val="single" w:sz="4" w:space="0" w:color="30AEB9"/>
          <w:insideH w:val="single" w:sz="4" w:space="0" w:color="30AEB9"/>
          <w:insideV w:val="single" w:sz="4" w:space="0" w:color="30AEB9"/>
        </w:tblBorders>
        <w:tblLook w:val="04A0" w:firstRow="1" w:lastRow="0" w:firstColumn="1" w:lastColumn="0" w:noHBand="0" w:noVBand="1"/>
      </w:tblPr>
      <w:tblGrid>
        <w:gridCol w:w="5380"/>
        <w:gridCol w:w="1131"/>
        <w:gridCol w:w="1422"/>
        <w:gridCol w:w="1276"/>
      </w:tblGrid>
      <w:tr w:rsidR="00EA14CC" w:rsidRPr="005051F2" w14:paraId="012AECC0" w14:textId="77777777" w:rsidTr="00A958F2">
        <w:trPr>
          <w:trHeight w:val="340"/>
          <w:tblHeader/>
        </w:trPr>
        <w:tc>
          <w:tcPr>
            <w:tcW w:w="5380" w:type="dxa"/>
            <w:shd w:val="clear" w:color="000000" w:fill="30AEB9"/>
            <w:noWrap/>
            <w:vAlign w:val="center"/>
            <w:hideMark/>
          </w:tcPr>
          <w:p w14:paraId="3E1218FB" w14:textId="77777777" w:rsidR="005051F2" w:rsidRPr="005051F2" w:rsidRDefault="005051F2" w:rsidP="00A958F2">
            <w:pPr>
              <w:spacing w:after="0" w:line="276" w:lineRule="auto"/>
              <w:rPr>
                <w:rFonts w:ascii="Calibri" w:eastAsia="Times New Roman" w:hAnsi="Calibri" w:cs="Calibri"/>
                <w:b/>
                <w:bCs/>
                <w:color w:val="FFFFFF"/>
                <w:sz w:val="20"/>
                <w:szCs w:val="20"/>
                <w:lang w:eastAsia="en-GB"/>
              </w:rPr>
            </w:pPr>
            <w:r w:rsidRPr="005051F2">
              <w:rPr>
                <w:rFonts w:ascii="Calibri" w:eastAsia="Times New Roman" w:hAnsi="Calibri" w:cs="Calibri"/>
                <w:b/>
                <w:bCs/>
                <w:color w:val="FFFFFF"/>
                <w:sz w:val="20"/>
                <w:szCs w:val="20"/>
                <w:lang w:eastAsia="en-GB"/>
              </w:rPr>
              <w:t>Instrument</w:t>
            </w:r>
          </w:p>
        </w:tc>
        <w:tc>
          <w:tcPr>
            <w:tcW w:w="1131" w:type="dxa"/>
            <w:shd w:val="clear" w:color="000000" w:fill="30AEB9"/>
            <w:noWrap/>
            <w:vAlign w:val="center"/>
            <w:hideMark/>
          </w:tcPr>
          <w:p w14:paraId="57553132" w14:textId="48185946" w:rsidR="005051F2" w:rsidRPr="005051F2" w:rsidRDefault="00AB3682" w:rsidP="001E51D4">
            <w:pPr>
              <w:spacing w:after="0" w:line="276" w:lineRule="auto"/>
              <w:jc w:val="center"/>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 xml:space="preserve">OTC </w:t>
            </w:r>
            <w:r w:rsidR="005051F2" w:rsidRPr="005051F2">
              <w:rPr>
                <w:rFonts w:ascii="Calibri" w:eastAsia="Times New Roman" w:hAnsi="Calibri" w:cs="Calibri"/>
                <w:b/>
                <w:bCs/>
                <w:color w:val="FFFFFF"/>
                <w:sz w:val="20"/>
                <w:szCs w:val="20"/>
                <w:lang w:eastAsia="en-GB"/>
              </w:rPr>
              <w:t>ISINs</w:t>
            </w:r>
            <w:r>
              <w:rPr>
                <w:rFonts w:ascii="Calibri" w:eastAsia="Times New Roman" w:hAnsi="Calibri" w:cs="Calibri"/>
                <w:b/>
                <w:bCs/>
                <w:color w:val="FFFFFF"/>
                <w:sz w:val="20"/>
                <w:szCs w:val="20"/>
                <w:lang w:eastAsia="en-GB"/>
              </w:rPr>
              <w:t xml:space="preserve"> Created</w:t>
            </w:r>
          </w:p>
        </w:tc>
        <w:tc>
          <w:tcPr>
            <w:tcW w:w="1422" w:type="dxa"/>
            <w:shd w:val="clear" w:color="000000" w:fill="30AEB9"/>
            <w:noWrap/>
            <w:vAlign w:val="center"/>
            <w:hideMark/>
          </w:tcPr>
          <w:p w14:paraId="7A4D2719" w14:textId="516758FC" w:rsidR="005051F2" w:rsidRPr="005051F2" w:rsidRDefault="00AB3682" w:rsidP="001E51D4">
            <w:pPr>
              <w:spacing w:after="0" w:line="276" w:lineRule="auto"/>
              <w:jc w:val="center"/>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 xml:space="preserve">Estimated </w:t>
            </w:r>
            <w:r w:rsidR="005051F2" w:rsidRPr="005051F2">
              <w:rPr>
                <w:rFonts w:ascii="Calibri" w:eastAsia="Times New Roman" w:hAnsi="Calibri" w:cs="Calibri"/>
                <w:b/>
                <w:bCs/>
                <w:color w:val="FFFFFF"/>
                <w:sz w:val="20"/>
                <w:szCs w:val="20"/>
                <w:lang w:eastAsia="en-GB"/>
              </w:rPr>
              <w:t>UPI</w:t>
            </w:r>
            <w:r>
              <w:rPr>
                <w:rFonts w:ascii="Calibri" w:eastAsia="Times New Roman" w:hAnsi="Calibri" w:cs="Calibri"/>
                <w:b/>
                <w:bCs/>
                <w:color w:val="FFFFFF"/>
                <w:sz w:val="20"/>
                <w:szCs w:val="20"/>
                <w:lang w:eastAsia="en-GB"/>
              </w:rPr>
              <w:t>s Created</w:t>
            </w:r>
          </w:p>
        </w:tc>
        <w:tc>
          <w:tcPr>
            <w:tcW w:w="1276" w:type="dxa"/>
            <w:shd w:val="clear" w:color="000000" w:fill="30AEB9"/>
            <w:noWrap/>
            <w:vAlign w:val="center"/>
            <w:hideMark/>
          </w:tcPr>
          <w:p w14:paraId="7CE1E569" w14:textId="076F3850" w:rsidR="005051F2" w:rsidRPr="005051F2" w:rsidRDefault="00AB3682" w:rsidP="001E51D4">
            <w:pPr>
              <w:spacing w:after="0" w:line="276" w:lineRule="auto"/>
              <w:ind w:hanging="83"/>
              <w:jc w:val="center"/>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 xml:space="preserve">UPI as </w:t>
            </w:r>
            <w:r w:rsidR="005051F2" w:rsidRPr="005051F2">
              <w:rPr>
                <w:rFonts w:ascii="Calibri" w:eastAsia="Times New Roman" w:hAnsi="Calibri" w:cs="Calibri"/>
                <w:b/>
                <w:bCs/>
                <w:color w:val="FFFFFF"/>
                <w:sz w:val="20"/>
                <w:szCs w:val="20"/>
                <w:lang w:eastAsia="en-GB"/>
              </w:rPr>
              <w:t>% of OTC ISIN</w:t>
            </w:r>
          </w:p>
        </w:tc>
      </w:tr>
      <w:tr w:rsidR="00EA14CC" w:rsidRPr="005051F2" w14:paraId="51FA2D80" w14:textId="77777777" w:rsidTr="00A958F2">
        <w:trPr>
          <w:trHeight w:val="340"/>
        </w:trPr>
        <w:tc>
          <w:tcPr>
            <w:tcW w:w="9209" w:type="dxa"/>
            <w:gridSpan w:val="4"/>
            <w:shd w:val="clear" w:color="000000" w:fill="A9E4E9"/>
            <w:noWrap/>
            <w:vAlign w:val="center"/>
            <w:hideMark/>
          </w:tcPr>
          <w:p w14:paraId="66C9421D" w14:textId="77777777" w:rsidR="005051F2" w:rsidRPr="005051F2" w:rsidRDefault="005051F2" w:rsidP="00A958F2">
            <w:pPr>
              <w:spacing w:after="0" w:line="276" w:lineRule="auto"/>
              <w:rPr>
                <w:rFonts w:ascii="Calibri" w:eastAsia="Times New Roman" w:hAnsi="Calibri" w:cs="Calibri"/>
                <w:b/>
                <w:bCs/>
                <w:sz w:val="20"/>
                <w:szCs w:val="20"/>
                <w:lang w:eastAsia="en-GB"/>
              </w:rPr>
            </w:pPr>
            <w:r w:rsidRPr="005051F2">
              <w:rPr>
                <w:rFonts w:ascii="Calibri" w:eastAsia="Times New Roman" w:hAnsi="Calibri" w:cs="Calibri"/>
                <w:b/>
                <w:bCs/>
                <w:sz w:val="20"/>
                <w:szCs w:val="20"/>
                <w:lang w:eastAsia="en-GB"/>
              </w:rPr>
              <w:t>Commodities</w:t>
            </w:r>
          </w:p>
        </w:tc>
      </w:tr>
      <w:tr w:rsidR="00EA14CC" w:rsidRPr="005051F2" w14:paraId="37EC2CEF" w14:textId="77777777" w:rsidTr="00A958F2">
        <w:trPr>
          <w:trHeight w:val="340"/>
        </w:trPr>
        <w:tc>
          <w:tcPr>
            <w:tcW w:w="5380" w:type="dxa"/>
            <w:shd w:val="clear" w:color="auto" w:fill="auto"/>
            <w:noWrap/>
            <w:vAlign w:val="center"/>
            <w:hideMark/>
          </w:tcPr>
          <w:p w14:paraId="05B05A13"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proofErr w:type="gramStart"/>
            <w:r w:rsidRPr="005051F2">
              <w:rPr>
                <w:rFonts w:ascii="Calibri" w:eastAsia="Times New Roman" w:hAnsi="Calibri" w:cs="Calibri"/>
                <w:color w:val="000000"/>
                <w:sz w:val="20"/>
                <w:szCs w:val="20"/>
                <w:lang w:eastAsia="en-GB"/>
              </w:rPr>
              <w:t>Commodities.Forward.Forward</w:t>
            </w:r>
            <w:proofErr w:type="spellEnd"/>
            <w:proofErr w:type="gramEnd"/>
          </w:p>
        </w:tc>
        <w:tc>
          <w:tcPr>
            <w:tcW w:w="1131" w:type="dxa"/>
            <w:shd w:val="clear" w:color="auto" w:fill="auto"/>
            <w:noWrap/>
            <w:vAlign w:val="center"/>
            <w:hideMark/>
          </w:tcPr>
          <w:p w14:paraId="597C44D2"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217,492</w:t>
            </w:r>
          </w:p>
        </w:tc>
        <w:tc>
          <w:tcPr>
            <w:tcW w:w="1422" w:type="dxa"/>
            <w:shd w:val="clear" w:color="auto" w:fill="auto"/>
            <w:noWrap/>
            <w:vAlign w:val="center"/>
            <w:hideMark/>
          </w:tcPr>
          <w:p w14:paraId="0F6915CB" w14:textId="045BAC96"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642</w:t>
            </w:r>
          </w:p>
        </w:tc>
        <w:tc>
          <w:tcPr>
            <w:tcW w:w="1276" w:type="dxa"/>
            <w:shd w:val="clear" w:color="auto" w:fill="auto"/>
            <w:noWrap/>
            <w:vAlign w:val="center"/>
            <w:hideMark/>
          </w:tcPr>
          <w:p w14:paraId="4D75B6A1"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0.30%</w:t>
            </w:r>
          </w:p>
        </w:tc>
      </w:tr>
      <w:tr w:rsidR="00EA14CC" w:rsidRPr="005051F2" w14:paraId="27BE0A0B" w14:textId="77777777" w:rsidTr="00A958F2">
        <w:trPr>
          <w:trHeight w:val="340"/>
        </w:trPr>
        <w:tc>
          <w:tcPr>
            <w:tcW w:w="5380" w:type="dxa"/>
            <w:shd w:val="clear" w:color="auto" w:fill="auto"/>
            <w:noWrap/>
            <w:vAlign w:val="center"/>
            <w:hideMark/>
          </w:tcPr>
          <w:p w14:paraId="7A849C9F"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proofErr w:type="gramStart"/>
            <w:r w:rsidRPr="005051F2">
              <w:rPr>
                <w:rFonts w:ascii="Calibri" w:eastAsia="Times New Roman" w:hAnsi="Calibri" w:cs="Calibri"/>
                <w:color w:val="000000"/>
                <w:sz w:val="20"/>
                <w:szCs w:val="20"/>
                <w:lang w:eastAsia="en-GB"/>
              </w:rPr>
              <w:t>Commodities.Option.Option</w:t>
            </w:r>
            <w:proofErr w:type="spellEnd"/>
            <w:proofErr w:type="gramEnd"/>
          </w:p>
        </w:tc>
        <w:tc>
          <w:tcPr>
            <w:tcW w:w="1131" w:type="dxa"/>
            <w:shd w:val="clear" w:color="auto" w:fill="auto"/>
            <w:noWrap/>
            <w:vAlign w:val="center"/>
            <w:hideMark/>
          </w:tcPr>
          <w:p w14:paraId="4C796AC2"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68,284</w:t>
            </w:r>
          </w:p>
        </w:tc>
        <w:tc>
          <w:tcPr>
            <w:tcW w:w="1422" w:type="dxa"/>
            <w:shd w:val="clear" w:color="auto" w:fill="auto"/>
            <w:noWrap/>
            <w:vAlign w:val="center"/>
            <w:hideMark/>
          </w:tcPr>
          <w:p w14:paraId="69017D00" w14:textId="1F52589B"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1,534</w:t>
            </w:r>
          </w:p>
        </w:tc>
        <w:tc>
          <w:tcPr>
            <w:tcW w:w="1276" w:type="dxa"/>
            <w:shd w:val="clear" w:color="auto" w:fill="auto"/>
            <w:noWrap/>
            <w:vAlign w:val="center"/>
            <w:hideMark/>
          </w:tcPr>
          <w:p w14:paraId="792551BF"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2.25%</w:t>
            </w:r>
          </w:p>
        </w:tc>
      </w:tr>
      <w:tr w:rsidR="00EA14CC" w:rsidRPr="005051F2" w14:paraId="083A755A" w14:textId="77777777" w:rsidTr="00A958F2">
        <w:trPr>
          <w:trHeight w:val="340"/>
        </w:trPr>
        <w:tc>
          <w:tcPr>
            <w:tcW w:w="5380" w:type="dxa"/>
            <w:shd w:val="clear" w:color="auto" w:fill="auto"/>
            <w:noWrap/>
            <w:vAlign w:val="center"/>
            <w:hideMark/>
          </w:tcPr>
          <w:p w14:paraId="40941300"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proofErr w:type="gramStart"/>
            <w:r w:rsidRPr="005051F2">
              <w:rPr>
                <w:rFonts w:ascii="Calibri" w:eastAsia="Times New Roman" w:hAnsi="Calibri" w:cs="Calibri"/>
                <w:color w:val="000000"/>
                <w:sz w:val="20"/>
                <w:szCs w:val="20"/>
                <w:lang w:eastAsia="en-GB"/>
              </w:rPr>
              <w:t>Commodities.Swap.Swap</w:t>
            </w:r>
            <w:proofErr w:type="spellEnd"/>
            <w:proofErr w:type="gramEnd"/>
          </w:p>
        </w:tc>
        <w:tc>
          <w:tcPr>
            <w:tcW w:w="1131" w:type="dxa"/>
            <w:shd w:val="clear" w:color="auto" w:fill="auto"/>
            <w:noWrap/>
            <w:vAlign w:val="center"/>
            <w:hideMark/>
          </w:tcPr>
          <w:p w14:paraId="0BA9BA06"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96,292</w:t>
            </w:r>
          </w:p>
        </w:tc>
        <w:tc>
          <w:tcPr>
            <w:tcW w:w="1422" w:type="dxa"/>
            <w:shd w:val="clear" w:color="auto" w:fill="auto"/>
            <w:noWrap/>
            <w:vAlign w:val="center"/>
            <w:hideMark/>
          </w:tcPr>
          <w:p w14:paraId="0952358D" w14:textId="5BDEE9D2"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1,135</w:t>
            </w:r>
          </w:p>
        </w:tc>
        <w:tc>
          <w:tcPr>
            <w:tcW w:w="1276" w:type="dxa"/>
            <w:shd w:val="clear" w:color="auto" w:fill="auto"/>
            <w:noWrap/>
            <w:vAlign w:val="center"/>
            <w:hideMark/>
          </w:tcPr>
          <w:p w14:paraId="31DD0CA2"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1.18%</w:t>
            </w:r>
          </w:p>
        </w:tc>
      </w:tr>
      <w:tr w:rsidR="00EA14CC" w:rsidRPr="005051F2" w14:paraId="693BC41C" w14:textId="77777777" w:rsidTr="00A958F2">
        <w:trPr>
          <w:trHeight w:val="340"/>
        </w:trPr>
        <w:tc>
          <w:tcPr>
            <w:tcW w:w="5380" w:type="dxa"/>
            <w:shd w:val="clear" w:color="auto" w:fill="auto"/>
            <w:noWrap/>
            <w:vAlign w:val="center"/>
            <w:hideMark/>
          </w:tcPr>
          <w:p w14:paraId="45B4B0A6"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Commodities.Multi_Exotic_Swap.Swap</w:t>
            </w:r>
            <w:proofErr w:type="spellEnd"/>
          </w:p>
        </w:tc>
        <w:tc>
          <w:tcPr>
            <w:tcW w:w="1131" w:type="dxa"/>
            <w:shd w:val="clear" w:color="auto" w:fill="auto"/>
            <w:noWrap/>
            <w:vAlign w:val="center"/>
            <w:hideMark/>
          </w:tcPr>
          <w:p w14:paraId="3FE99790"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20,584</w:t>
            </w:r>
          </w:p>
        </w:tc>
        <w:tc>
          <w:tcPr>
            <w:tcW w:w="1422" w:type="dxa"/>
            <w:shd w:val="clear" w:color="auto" w:fill="auto"/>
            <w:noWrap/>
            <w:vAlign w:val="center"/>
            <w:hideMark/>
          </w:tcPr>
          <w:p w14:paraId="7F683F2F" w14:textId="1CBA1820"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690</w:t>
            </w:r>
          </w:p>
        </w:tc>
        <w:tc>
          <w:tcPr>
            <w:tcW w:w="1276" w:type="dxa"/>
            <w:shd w:val="clear" w:color="auto" w:fill="auto"/>
            <w:noWrap/>
            <w:vAlign w:val="center"/>
            <w:hideMark/>
          </w:tcPr>
          <w:p w14:paraId="5D4CE00A"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3.35%</w:t>
            </w:r>
          </w:p>
        </w:tc>
      </w:tr>
      <w:tr w:rsidR="00EA14CC" w:rsidRPr="005051F2" w14:paraId="76FD3E59" w14:textId="77777777" w:rsidTr="00A958F2">
        <w:trPr>
          <w:trHeight w:val="340"/>
        </w:trPr>
        <w:tc>
          <w:tcPr>
            <w:tcW w:w="9209" w:type="dxa"/>
            <w:gridSpan w:val="4"/>
            <w:shd w:val="clear" w:color="000000" w:fill="A9E4E9"/>
            <w:noWrap/>
            <w:vAlign w:val="center"/>
            <w:hideMark/>
          </w:tcPr>
          <w:p w14:paraId="34DF5644" w14:textId="77777777" w:rsidR="005051F2" w:rsidRPr="005051F2" w:rsidRDefault="005051F2" w:rsidP="00A958F2">
            <w:pPr>
              <w:spacing w:after="0" w:line="276" w:lineRule="auto"/>
              <w:rPr>
                <w:rFonts w:ascii="Calibri" w:eastAsia="Times New Roman" w:hAnsi="Calibri" w:cs="Calibri"/>
                <w:b/>
                <w:bCs/>
                <w:sz w:val="20"/>
                <w:szCs w:val="20"/>
                <w:lang w:eastAsia="en-GB"/>
              </w:rPr>
            </w:pPr>
            <w:r w:rsidRPr="005051F2">
              <w:rPr>
                <w:rFonts w:ascii="Calibri" w:eastAsia="Times New Roman" w:hAnsi="Calibri" w:cs="Calibri"/>
                <w:b/>
                <w:bCs/>
                <w:sz w:val="20"/>
                <w:szCs w:val="20"/>
                <w:lang w:eastAsia="en-GB"/>
              </w:rPr>
              <w:t>Credit</w:t>
            </w:r>
          </w:p>
        </w:tc>
      </w:tr>
      <w:tr w:rsidR="00EA14CC" w:rsidRPr="005051F2" w14:paraId="1F23C7B7" w14:textId="77777777" w:rsidTr="00A958F2">
        <w:trPr>
          <w:trHeight w:val="340"/>
        </w:trPr>
        <w:tc>
          <w:tcPr>
            <w:tcW w:w="5380" w:type="dxa"/>
            <w:shd w:val="clear" w:color="auto" w:fill="auto"/>
            <w:noWrap/>
            <w:vAlign w:val="center"/>
            <w:hideMark/>
          </w:tcPr>
          <w:p w14:paraId="6C4DDFC1"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proofErr w:type="gramStart"/>
            <w:r w:rsidRPr="005051F2">
              <w:rPr>
                <w:rFonts w:ascii="Calibri" w:eastAsia="Times New Roman" w:hAnsi="Calibri" w:cs="Calibri"/>
                <w:color w:val="000000"/>
                <w:sz w:val="20"/>
                <w:szCs w:val="20"/>
                <w:lang w:eastAsia="en-GB"/>
              </w:rPr>
              <w:t>Credit.Corporate.Swap</w:t>
            </w:r>
            <w:proofErr w:type="spellEnd"/>
            <w:proofErr w:type="gramEnd"/>
          </w:p>
        </w:tc>
        <w:tc>
          <w:tcPr>
            <w:tcW w:w="1131" w:type="dxa"/>
            <w:shd w:val="clear" w:color="auto" w:fill="auto"/>
            <w:noWrap/>
            <w:vAlign w:val="center"/>
            <w:hideMark/>
          </w:tcPr>
          <w:p w14:paraId="028DE009"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417,592</w:t>
            </w:r>
          </w:p>
        </w:tc>
        <w:tc>
          <w:tcPr>
            <w:tcW w:w="1422" w:type="dxa"/>
            <w:shd w:val="clear" w:color="auto" w:fill="auto"/>
            <w:noWrap/>
            <w:vAlign w:val="center"/>
            <w:hideMark/>
          </w:tcPr>
          <w:p w14:paraId="17D8628F" w14:textId="62F833AB"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17,089</w:t>
            </w:r>
          </w:p>
        </w:tc>
        <w:tc>
          <w:tcPr>
            <w:tcW w:w="1276" w:type="dxa"/>
            <w:shd w:val="clear" w:color="auto" w:fill="auto"/>
            <w:noWrap/>
            <w:vAlign w:val="center"/>
            <w:hideMark/>
          </w:tcPr>
          <w:p w14:paraId="6349BEA6"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4.09%</w:t>
            </w:r>
          </w:p>
        </w:tc>
      </w:tr>
      <w:tr w:rsidR="00EA14CC" w:rsidRPr="005051F2" w14:paraId="010E68D0" w14:textId="77777777" w:rsidTr="00A958F2">
        <w:trPr>
          <w:trHeight w:val="340"/>
        </w:trPr>
        <w:tc>
          <w:tcPr>
            <w:tcW w:w="5380" w:type="dxa"/>
            <w:shd w:val="clear" w:color="auto" w:fill="auto"/>
            <w:noWrap/>
            <w:vAlign w:val="center"/>
            <w:hideMark/>
          </w:tcPr>
          <w:p w14:paraId="3AB1700D"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proofErr w:type="gramStart"/>
            <w:r w:rsidRPr="005051F2">
              <w:rPr>
                <w:rFonts w:ascii="Calibri" w:eastAsia="Times New Roman" w:hAnsi="Calibri" w:cs="Calibri"/>
                <w:color w:val="000000"/>
                <w:sz w:val="20"/>
                <w:szCs w:val="20"/>
                <w:lang w:eastAsia="en-GB"/>
              </w:rPr>
              <w:t>Credit.Index.Swap</w:t>
            </w:r>
            <w:proofErr w:type="spellEnd"/>
            <w:proofErr w:type="gramEnd"/>
          </w:p>
        </w:tc>
        <w:tc>
          <w:tcPr>
            <w:tcW w:w="1131" w:type="dxa"/>
            <w:shd w:val="clear" w:color="auto" w:fill="auto"/>
            <w:noWrap/>
            <w:vAlign w:val="center"/>
            <w:hideMark/>
          </w:tcPr>
          <w:p w14:paraId="442481E2"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31,821</w:t>
            </w:r>
          </w:p>
        </w:tc>
        <w:tc>
          <w:tcPr>
            <w:tcW w:w="1422" w:type="dxa"/>
            <w:shd w:val="clear" w:color="auto" w:fill="auto"/>
            <w:noWrap/>
            <w:vAlign w:val="center"/>
            <w:hideMark/>
          </w:tcPr>
          <w:p w14:paraId="479788CD" w14:textId="2F40DCAD"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11,168</w:t>
            </w:r>
          </w:p>
        </w:tc>
        <w:tc>
          <w:tcPr>
            <w:tcW w:w="1276" w:type="dxa"/>
            <w:shd w:val="clear" w:color="auto" w:fill="auto"/>
            <w:noWrap/>
            <w:vAlign w:val="center"/>
            <w:hideMark/>
          </w:tcPr>
          <w:p w14:paraId="1B68082D"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35.10%</w:t>
            </w:r>
          </w:p>
        </w:tc>
      </w:tr>
      <w:tr w:rsidR="00EA14CC" w:rsidRPr="005051F2" w14:paraId="3122D4DA" w14:textId="77777777" w:rsidTr="00A958F2">
        <w:trPr>
          <w:trHeight w:val="340"/>
        </w:trPr>
        <w:tc>
          <w:tcPr>
            <w:tcW w:w="5380" w:type="dxa"/>
            <w:shd w:val="clear" w:color="auto" w:fill="auto"/>
            <w:noWrap/>
            <w:vAlign w:val="center"/>
            <w:hideMark/>
          </w:tcPr>
          <w:p w14:paraId="20D7AB76"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proofErr w:type="gramStart"/>
            <w:r w:rsidRPr="005051F2">
              <w:rPr>
                <w:rFonts w:ascii="Calibri" w:eastAsia="Times New Roman" w:hAnsi="Calibri" w:cs="Calibri"/>
                <w:color w:val="000000"/>
                <w:sz w:val="20"/>
                <w:szCs w:val="20"/>
                <w:lang w:eastAsia="en-GB"/>
              </w:rPr>
              <w:t>Credit.Sovereign.Swap</w:t>
            </w:r>
            <w:proofErr w:type="spellEnd"/>
            <w:proofErr w:type="gramEnd"/>
          </w:p>
        </w:tc>
        <w:tc>
          <w:tcPr>
            <w:tcW w:w="1131" w:type="dxa"/>
            <w:shd w:val="clear" w:color="auto" w:fill="auto"/>
            <w:noWrap/>
            <w:vAlign w:val="center"/>
            <w:hideMark/>
          </w:tcPr>
          <w:p w14:paraId="0CD994AE"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32,098</w:t>
            </w:r>
          </w:p>
        </w:tc>
        <w:tc>
          <w:tcPr>
            <w:tcW w:w="1422" w:type="dxa"/>
            <w:shd w:val="clear" w:color="auto" w:fill="auto"/>
            <w:noWrap/>
            <w:vAlign w:val="center"/>
            <w:hideMark/>
          </w:tcPr>
          <w:p w14:paraId="122988C7" w14:textId="5872ED32"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1,689</w:t>
            </w:r>
          </w:p>
        </w:tc>
        <w:tc>
          <w:tcPr>
            <w:tcW w:w="1276" w:type="dxa"/>
            <w:shd w:val="clear" w:color="auto" w:fill="auto"/>
            <w:noWrap/>
            <w:vAlign w:val="center"/>
            <w:hideMark/>
          </w:tcPr>
          <w:p w14:paraId="5E7106E8"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5.26%</w:t>
            </w:r>
          </w:p>
        </w:tc>
      </w:tr>
      <w:tr w:rsidR="00EA14CC" w:rsidRPr="005051F2" w14:paraId="73C4B89E" w14:textId="77777777" w:rsidTr="00A958F2">
        <w:trPr>
          <w:trHeight w:val="340"/>
        </w:trPr>
        <w:tc>
          <w:tcPr>
            <w:tcW w:w="5380" w:type="dxa"/>
            <w:shd w:val="clear" w:color="auto" w:fill="auto"/>
            <w:noWrap/>
            <w:vAlign w:val="center"/>
            <w:hideMark/>
          </w:tcPr>
          <w:p w14:paraId="204C73D5"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Credit.Total_Return_Swap.Swap</w:t>
            </w:r>
            <w:proofErr w:type="spellEnd"/>
          </w:p>
        </w:tc>
        <w:tc>
          <w:tcPr>
            <w:tcW w:w="1131" w:type="dxa"/>
            <w:shd w:val="clear" w:color="auto" w:fill="auto"/>
            <w:noWrap/>
            <w:vAlign w:val="center"/>
            <w:hideMark/>
          </w:tcPr>
          <w:p w14:paraId="3004748B"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21,278</w:t>
            </w:r>
          </w:p>
        </w:tc>
        <w:tc>
          <w:tcPr>
            <w:tcW w:w="1422" w:type="dxa"/>
            <w:shd w:val="clear" w:color="auto" w:fill="auto"/>
            <w:noWrap/>
            <w:vAlign w:val="center"/>
            <w:hideMark/>
          </w:tcPr>
          <w:p w14:paraId="35F7BAE2" w14:textId="18259D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5,126</w:t>
            </w:r>
          </w:p>
        </w:tc>
        <w:tc>
          <w:tcPr>
            <w:tcW w:w="1276" w:type="dxa"/>
            <w:shd w:val="clear" w:color="auto" w:fill="auto"/>
            <w:noWrap/>
            <w:vAlign w:val="center"/>
            <w:hideMark/>
          </w:tcPr>
          <w:p w14:paraId="7BC94764"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24.09%</w:t>
            </w:r>
          </w:p>
        </w:tc>
      </w:tr>
      <w:tr w:rsidR="00EA14CC" w:rsidRPr="005051F2" w14:paraId="50604E7D" w14:textId="77777777" w:rsidTr="00A958F2">
        <w:trPr>
          <w:trHeight w:val="340"/>
        </w:trPr>
        <w:tc>
          <w:tcPr>
            <w:tcW w:w="9209" w:type="dxa"/>
            <w:gridSpan w:val="4"/>
            <w:shd w:val="clear" w:color="000000" w:fill="A9E4E9"/>
            <w:noWrap/>
            <w:vAlign w:val="center"/>
            <w:hideMark/>
          </w:tcPr>
          <w:p w14:paraId="5CEB77D0" w14:textId="77777777" w:rsidR="005051F2" w:rsidRPr="005051F2" w:rsidRDefault="005051F2" w:rsidP="00A958F2">
            <w:pPr>
              <w:spacing w:after="0" w:line="276" w:lineRule="auto"/>
              <w:rPr>
                <w:rFonts w:ascii="Calibri" w:eastAsia="Times New Roman" w:hAnsi="Calibri" w:cs="Calibri"/>
                <w:b/>
                <w:bCs/>
                <w:sz w:val="20"/>
                <w:szCs w:val="20"/>
                <w:lang w:eastAsia="en-GB"/>
              </w:rPr>
            </w:pPr>
            <w:r w:rsidRPr="005051F2">
              <w:rPr>
                <w:rFonts w:ascii="Calibri" w:eastAsia="Times New Roman" w:hAnsi="Calibri" w:cs="Calibri"/>
                <w:b/>
                <w:bCs/>
                <w:sz w:val="20"/>
                <w:szCs w:val="20"/>
                <w:lang w:eastAsia="en-GB"/>
              </w:rPr>
              <w:t>Equity</w:t>
            </w:r>
          </w:p>
        </w:tc>
      </w:tr>
      <w:tr w:rsidR="00EA14CC" w:rsidRPr="005051F2" w14:paraId="0DDE5AD9" w14:textId="77777777" w:rsidTr="00A958F2">
        <w:trPr>
          <w:trHeight w:val="340"/>
        </w:trPr>
        <w:tc>
          <w:tcPr>
            <w:tcW w:w="5380" w:type="dxa"/>
            <w:shd w:val="clear" w:color="auto" w:fill="auto"/>
            <w:noWrap/>
            <w:vAlign w:val="center"/>
            <w:hideMark/>
          </w:tcPr>
          <w:p w14:paraId="19AFE8C7"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Equity.Portfolio_Swap.Swap</w:t>
            </w:r>
            <w:proofErr w:type="spellEnd"/>
          </w:p>
        </w:tc>
        <w:tc>
          <w:tcPr>
            <w:tcW w:w="1131" w:type="dxa"/>
            <w:shd w:val="clear" w:color="auto" w:fill="auto"/>
            <w:noWrap/>
            <w:vAlign w:val="center"/>
            <w:hideMark/>
          </w:tcPr>
          <w:p w14:paraId="0C81EC31"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745,316</w:t>
            </w:r>
          </w:p>
        </w:tc>
        <w:tc>
          <w:tcPr>
            <w:tcW w:w="1422" w:type="dxa"/>
            <w:shd w:val="clear" w:color="auto" w:fill="auto"/>
            <w:noWrap/>
            <w:vAlign w:val="center"/>
            <w:hideMark/>
          </w:tcPr>
          <w:p w14:paraId="6F4EDBBB" w14:textId="5B8D16AA"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49,162</w:t>
            </w:r>
          </w:p>
        </w:tc>
        <w:tc>
          <w:tcPr>
            <w:tcW w:w="1276" w:type="dxa"/>
            <w:shd w:val="clear" w:color="auto" w:fill="auto"/>
            <w:noWrap/>
            <w:vAlign w:val="center"/>
            <w:hideMark/>
          </w:tcPr>
          <w:p w14:paraId="3F507D29"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6.60%</w:t>
            </w:r>
          </w:p>
        </w:tc>
      </w:tr>
      <w:tr w:rsidR="00EA14CC" w:rsidRPr="005051F2" w14:paraId="21831A39" w14:textId="77777777" w:rsidTr="00A958F2">
        <w:trPr>
          <w:trHeight w:val="340"/>
        </w:trPr>
        <w:tc>
          <w:tcPr>
            <w:tcW w:w="5380" w:type="dxa"/>
            <w:shd w:val="clear" w:color="auto" w:fill="auto"/>
            <w:noWrap/>
            <w:vAlign w:val="center"/>
            <w:hideMark/>
          </w:tcPr>
          <w:p w14:paraId="264FFF37"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Equity.Portfolio_Swap_Single_Name.Swap</w:t>
            </w:r>
            <w:proofErr w:type="spellEnd"/>
          </w:p>
        </w:tc>
        <w:tc>
          <w:tcPr>
            <w:tcW w:w="1131" w:type="dxa"/>
            <w:shd w:val="clear" w:color="auto" w:fill="auto"/>
            <w:noWrap/>
            <w:vAlign w:val="center"/>
            <w:hideMark/>
          </w:tcPr>
          <w:p w14:paraId="65FEA64A"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1,084,430</w:t>
            </w:r>
          </w:p>
        </w:tc>
        <w:tc>
          <w:tcPr>
            <w:tcW w:w="1422" w:type="dxa"/>
            <w:shd w:val="clear" w:color="auto" w:fill="auto"/>
            <w:noWrap/>
            <w:vAlign w:val="center"/>
            <w:hideMark/>
          </w:tcPr>
          <w:p w14:paraId="753E3F65" w14:textId="208B080B"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34,833</w:t>
            </w:r>
          </w:p>
        </w:tc>
        <w:tc>
          <w:tcPr>
            <w:tcW w:w="1276" w:type="dxa"/>
            <w:shd w:val="clear" w:color="auto" w:fill="auto"/>
            <w:noWrap/>
            <w:vAlign w:val="center"/>
            <w:hideMark/>
          </w:tcPr>
          <w:p w14:paraId="7012EFB6"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3.21%</w:t>
            </w:r>
          </w:p>
        </w:tc>
      </w:tr>
      <w:tr w:rsidR="00EA14CC" w:rsidRPr="005051F2" w14:paraId="1D7A982B" w14:textId="77777777" w:rsidTr="00A958F2">
        <w:trPr>
          <w:trHeight w:val="340"/>
        </w:trPr>
        <w:tc>
          <w:tcPr>
            <w:tcW w:w="5380" w:type="dxa"/>
            <w:shd w:val="clear" w:color="auto" w:fill="auto"/>
            <w:noWrap/>
            <w:vAlign w:val="center"/>
            <w:hideMark/>
          </w:tcPr>
          <w:p w14:paraId="3D91AEFC"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Equity.Price_Return_Basic_Performance_Single_Index.Swap</w:t>
            </w:r>
            <w:proofErr w:type="spellEnd"/>
          </w:p>
        </w:tc>
        <w:tc>
          <w:tcPr>
            <w:tcW w:w="1131" w:type="dxa"/>
            <w:shd w:val="clear" w:color="auto" w:fill="auto"/>
            <w:noWrap/>
            <w:vAlign w:val="center"/>
            <w:hideMark/>
          </w:tcPr>
          <w:p w14:paraId="18F2CED1"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1,170,023</w:t>
            </w:r>
          </w:p>
        </w:tc>
        <w:tc>
          <w:tcPr>
            <w:tcW w:w="1422" w:type="dxa"/>
            <w:shd w:val="clear" w:color="auto" w:fill="auto"/>
            <w:noWrap/>
            <w:vAlign w:val="center"/>
            <w:hideMark/>
          </w:tcPr>
          <w:p w14:paraId="35F4F687" w14:textId="3FD8145D"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11,620</w:t>
            </w:r>
          </w:p>
        </w:tc>
        <w:tc>
          <w:tcPr>
            <w:tcW w:w="1276" w:type="dxa"/>
            <w:shd w:val="clear" w:color="auto" w:fill="auto"/>
            <w:noWrap/>
            <w:vAlign w:val="center"/>
            <w:hideMark/>
          </w:tcPr>
          <w:p w14:paraId="11A26147"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0.99%</w:t>
            </w:r>
          </w:p>
        </w:tc>
      </w:tr>
      <w:tr w:rsidR="00EA14CC" w:rsidRPr="005051F2" w14:paraId="30D7F451" w14:textId="77777777" w:rsidTr="00A958F2">
        <w:trPr>
          <w:trHeight w:val="340"/>
        </w:trPr>
        <w:tc>
          <w:tcPr>
            <w:tcW w:w="5380" w:type="dxa"/>
            <w:shd w:val="clear" w:color="auto" w:fill="auto"/>
            <w:noWrap/>
            <w:vAlign w:val="center"/>
            <w:hideMark/>
          </w:tcPr>
          <w:p w14:paraId="032C6604"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Equity.Price_Return_Basic_Performance_Single_Name.Swap</w:t>
            </w:r>
            <w:proofErr w:type="spellEnd"/>
          </w:p>
        </w:tc>
        <w:tc>
          <w:tcPr>
            <w:tcW w:w="1131" w:type="dxa"/>
            <w:shd w:val="clear" w:color="auto" w:fill="auto"/>
            <w:noWrap/>
            <w:vAlign w:val="center"/>
            <w:hideMark/>
          </w:tcPr>
          <w:p w14:paraId="59526A5D"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12,481,763</w:t>
            </w:r>
          </w:p>
        </w:tc>
        <w:tc>
          <w:tcPr>
            <w:tcW w:w="1422" w:type="dxa"/>
            <w:shd w:val="clear" w:color="auto" w:fill="auto"/>
            <w:noWrap/>
            <w:vAlign w:val="center"/>
            <w:hideMark/>
          </w:tcPr>
          <w:p w14:paraId="49C7537E" w14:textId="00BA0975"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93,705</w:t>
            </w:r>
          </w:p>
        </w:tc>
        <w:tc>
          <w:tcPr>
            <w:tcW w:w="1276" w:type="dxa"/>
            <w:shd w:val="clear" w:color="auto" w:fill="auto"/>
            <w:noWrap/>
            <w:vAlign w:val="center"/>
            <w:hideMark/>
          </w:tcPr>
          <w:p w14:paraId="7EDAF438"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0.75%</w:t>
            </w:r>
          </w:p>
        </w:tc>
      </w:tr>
      <w:tr w:rsidR="00EA14CC" w:rsidRPr="005051F2" w14:paraId="4193D51D" w14:textId="77777777" w:rsidTr="00A958F2">
        <w:trPr>
          <w:trHeight w:val="340"/>
        </w:trPr>
        <w:tc>
          <w:tcPr>
            <w:tcW w:w="5380" w:type="dxa"/>
            <w:shd w:val="clear" w:color="auto" w:fill="auto"/>
            <w:noWrap/>
            <w:vAlign w:val="center"/>
            <w:hideMark/>
          </w:tcPr>
          <w:p w14:paraId="67C49786"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Equity.Single_Index.Option</w:t>
            </w:r>
            <w:proofErr w:type="spellEnd"/>
          </w:p>
        </w:tc>
        <w:tc>
          <w:tcPr>
            <w:tcW w:w="1131" w:type="dxa"/>
            <w:shd w:val="clear" w:color="auto" w:fill="auto"/>
            <w:noWrap/>
            <w:vAlign w:val="center"/>
            <w:hideMark/>
          </w:tcPr>
          <w:p w14:paraId="7BF5D02F"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1,009,643</w:t>
            </w:r>
          </w:p>
        </w:tc>
        <w:tc>
          <w:tcPr>
            <w:tcW w:w="1422" w:type="dxa"/>
            <w:shd w:val="clear" w:color="auto" w:fill="auto"/>
            <w:noWrap/>
            <w:vAlign w:val="center"/>
            <w:hideMark/>
          </w:tcPr>
          <w:p w14:paraId="2040997B" w14:textId="12D1386E"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2,325</w:t>
            </w:r>
          </w:p>
        </w:tc>
        <w:tc>
          <w:tcPr>
            <w:tcW w:w="1276" w:type="dxa"/>
            <w:shd w:val="clear" w:color="auto" w:fill="auto"/>
            <w:noWrap/>
            <w:vAlign w:val="center"/>
            <w:hideMark/>
          </w:tcPr>
          <w:p w14:paraId="694CC7A4"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0.23%</w:t>
            </w:r>
          </w:p>
        </w:tc>
      </w:tr>
      <w:tr w:rsidR="00EA14CC" w:rsidRPr="005051F2" w14:paraId="63445D61" w14:textId="77777777" w:rsidTr="00A958F2">
        <w:trPr>
          <w:trHeight w:val="340"/>
        </w:trPr>
        <w:tc>
          <w:tcPr>
            <w:tcW w:w="5380" w:type="dxa"/>
            <w:shd w:val="clear" w:color="auto" w:fill="auto"/>
            <w:noWrap/>
            <w:vAlign w:val="center"/>
            <w:hideMark/>
          </w:tcPr>
          <w:p w14:paraId="5F63A102"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Equity.Single_Name.Option</w:t>
            </w:r>
            <w:proofErr w:type="spellEnd"/>
          </w:p>
        </w:tc>
        <w:tc>
          <w:tcPr>
            <w:tcW w:w="1131" w:type="dxa"/>
            <w:shd w:val="clear" w:color="auto" w:fill="auto"/>
            <w:noWrap/>
            <w:vAlign w:val="center"/>
            <w:hideMark/>
          </w:tcPr>
          <w:p w14:paraId="0C24C403"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1,916,011</w:t>
            </w:r>
          </w:p>
        </w:tc>
        <w:tc>
          <w:tcPr>
            <w:tcW w:w="1422" w:type="dxa"/>
            <w:shd w:val="clear" w:color="auto" w:fill="auto"/>
            <w:noWrap/>
            <w:vAlign w:val="center"/>
            <w:hideMark/>
          </w:tcPr>
          <w:p w14:paraId="79806B59" w14:textId="4FAD5595"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28,830</w:t>
            </w:r>
          </w:p>
        </w:tc>
        <w:tc>
          <w:tcPr>
            <w:tcW w:w="1276" w:type="dxa"/>
            <w:shd w:val="clear" w:color="auto" w:fill="auto"/>
            <w:noWrap/>
            <w:vAlign w:val="center"/>
            <w:hideMark/>
          </w:tcPr>
          <w:p w14:paraId="4EA32161"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1.50%</w:t>
            </w:r>
          </w:p>
        </w:tc>
      </w:tr>
      <w:tr w:rsidR="00EA14CC" w:rsidRPr="005051F2" w14:paraId="5277DC83" w14:textId="77777777" w:rsidTr="00A958F2">
        <w:trPr>
          <w:trHeight w:val="340"/>
        </w:trPr>
        <w:tc>
          <w:tcPr>
            <w:tcW w:w="9209" w:type="dxa"/>
            <w:gridSpan w:val="4"/>
            <w:shd w:val="clear" w:color="000000" w:fill="A9E4E9"/>
            <w:noWrap/>
            <w:vAlign w:val="center"/>
            <w:hideMark/>
          </w:tcPr>
          <w:p w14:paraId="50BF3598" w14:textId="77777777" w:rsidR="005051F2" w:rsidRPr="005051F2" w:rsidRDefault="005051F2" w:rsidP="00A958F2">
            <w:pPr>
              <w:spacing w:after="0" w:line="276" w:lineRule="auto"/>
              <w:rPr>
                <w:rFonts w:ascii="Calibri" w:eastAsia="Times New Roman" w:hAnsi="Calibri" w:cs="Calibri"/>
                <w:b/>
                <w:bCs/>
                <w:sz w:val="20"/>
                <w:szCs w:val="20"/>
                <w:lang w:eastAsia="en-GB"/>
              </w:rPr>
            </w:pPr>
            <w:r w:rsidRPr="005051F2">
              <w:rPr>
                <w:rFonts w:ascii="Calibri" w:eastAsia="Times New Roman" w:hAnsi="Calibri" w:cs="Calibri"/>
                <w:b/>
                <w:bCs/>
                <w:sz w:val="20"/>
                <w:szCs w:val="20"/>
                <w:lang w:eastAsia="en-GB"/>
              </w:rPr>
              <w:t>FX</w:t>
            </w:r>
          </w:p>
        </w:tc>
      </w:tr>
      <w:tr w:rsidR="00EA14CC" w:rsidRPr="005051F2" w14:paraId="47FDE9D1" w14:textId="77777777" w:rsidTr="00A958F2">
        <w:trPr>
          <w:trHeight w:val="340"/>
        </w:trPr>
        <w:tc>
          <w:tcPr>
            <w:tcW w:w="5380" w:type="dxa"/>
            <w:shd w:val="clear" w:color="auto" w:fill="auto"/>
            <w:noWrap/>
            <w:vAlign w:val="center"/>
            <w:hideMark/>
          </w:tcPr>
          <w:p w14:paraId="5B5374B1"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Foreign_Exchange.Barrier_Option.Option</w:t>
            </w:r>
            <w:proofErr w:type="spellEnd"/>
          </w:p>
        </w:tc>
        <w:tc>
          <w:tcPr>
            <w:tcW w:w="1131" w:type="dxa"/>
            <w:shd w:val="clear" w:color="auto" w:fill="auto"/>
            <w:noWrap/>
            <w:vAlign w:val="center"/>
            <w:hideMark/>
          </w:tcPr>
          <w:p w14:paraId="2BB081BE"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294,840</w:t>
            </w:r>
          </w:p>
        </w:tc>
        <w:tc>
          <w:tcPr>
            <w:tcW w:w="1422" w:type="dxa"/>
            <w:shd w:val="clear" w:color="auto" w:fill="auto"/>
            <w:noWrap/>
            <w:vAlign w:val="center"/>
            <w:hideMark/>
          </w:tcPr>
          <w:p w14:paraId="2D6E2EE4" w14:textId="20D3998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1,798</w:t>
            </w:r>
          </w:p>
        </w:tc>
        <w:tc>
          <w:tcPr>
            <w:tcW w:w="1276" w:type="dxa"/>
            <w:shd w:val="clear" w:color="auto" w:fill="auto"/>
            <w:noWrap/>
            <w:vAlign w:val="center"/>
            <w:hideMark/>
          </w:tcPr>
          <w:p w14:paraId="7709A4A3"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0.61%</w:t>
            </w:r>
          </w:p>
        </w:tc>
      </w:tr>
      <w:tr w:rsidR="00EA14CC" w:rsidRPr="005051F2" w14:paraId="75005950" w14:textId="77777777" w:rsidTr="00A958F2">
        <w:trPr>
          <w:trHeight w:val="340"/>
        </w:trPr>
        <w:tc>
          <w:tcPr>
            <w:tcW w:w="5380" w:type="dxa"/>
            <w:shd w:val="clear" w:color="auto" w:fill="auto"/>
            <w:noWrap/>
            <w:vAlign w:val="center"/>
            <w:hideMark/>
          </w:tcPr>
          <w:p w14:paraId="72FFC047"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Foreign_</w:t>
            </w:r>
            <w:proofErr w:type="gramStart"/>
            <w:r w:rsidRPr="005051F2">
              <w:rPr>
                <w:rFonts w:ascii="Calibri" w:eastAsia="Times New Roman" w:hAnsi="Calibri" w:cs="Calibri"/>
                <w:color w:val="000000"/>
                <w:sz w:val="20"/>
                <w:szCs w:val="20"/>
                <w:lang w:eastAsia="en-GB"/>
              </w:rPr>
              <w:t>Exchange.Forward.Forward</w:t>
            </w:r>
            <w:proofErr w:type="spellEnd"/>
            <w:proofErr w:type="gramEnd"/>
          </w:p>
        </w:tc>
        <w:tc>
          <w:tcPr>
            <w:tcW w:w="1131" w:type="dxa"/>
            <w:shd w:val="clear" w:color="auto" w:fill="auto"/>
            <w:noWrap/>
            <w:vAlign w:val="center"/>
            <w:hideMark/>
          </w:tcPr>
          <w:p w14:paraId="58805D53"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4,009,620</w:t>
            </w:r>
          </w:p>
        </w:tc>
        <w:tc>
          <w:tcPr>
            <w:tcW w:w="1422" w:type="dxa"/>
            <w:shd w:val="clear" w:color="auto" w:fill="auto"/>
            <w:noWrap/>
            <w:vAlign w:val="center"/>
            <w:hideMark/>
          </w:tcPr>
          <w:p w14:paraId="4F892AF8" w14:textId="01017A48"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5,157</w:t>
            </w:r>
          </w:p>
        </w:tc>
        <w:tc>
          <w:tcPr>
            <w:tcW w:w="1276" w:type="dxa"/>
            <w:shd w:val="clear" w:color="auto" w:fill="auto"/>
            <w:noWrap/>
            <w:vAlign w:val="center"/>
            <w:hideMark/>
          </w:tcPr>
          <w:p w14:paraId="5C42428F"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0.13%</w:t>
            </w:r>
          </w:p>
        </w:tc>
      </w:tr>
      <w:tr w:rsidR="00EA14CC" w:rsidRPr="005051F2" w14:paraId="2DA345A3" w14:textId="77777777" w:rsidTr="00A958F2">
        <w:trPr>
          <w:trHeight w:val="340"/>
        </w:trPr>
        <w:tc>
          <w:tcPr>
            <w:tcW w:w="5380" w:type="dxa"/>
            <w:shd w:val="clear" w:color="auto" w:fill="auto"/>
            <w:noWrap/>
            <w:vAlign w:val="center"/>
            <w:hideMark/>
          </w:tcPr>
          <w:p w14:paraId="296F4B73"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Foreign_Exchange.FX_Swap.Swap</w:t>
            </w:r>
            <w:proofErr w:type="spellEnd"/>
          </w:p>
        </w:tc>
        <w:tc>
          <w:tcPr>
            <w:tcW w:w="1131" w:type="dxa"/>
            <w:shd w:val="clear" w:color="auto" w:fill="auto"/>
            <w:noWrap/>
            <w:vAlign w:val="center"/>
            <w:hideMark/>
          </w:tcPr>
          <w:p w14:paraId="2DAE3825"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6,930,027</w:t>
            </w:r>
          </w:p>
        </w:tc>
        <w:tc>
          <w:tcPr>
            <w:tcW w:w="1422" w:type="dxa"/>
            <w:shd w:val="clear" w:color="auto" w:fill="auto"/>
            <w:noWrap/>
            <w:vAlign w:val="center"/>
            <w:hideMark/>
          </w:tcPr>
          <w:p w14:paraId="0FACB438" w14:textId="57454236"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995</w:t>
            </w:r>
          </w:p>
        </w:tc>
        <w:tc>
          <w:tcPr>
            <w:tcW w:w="1276" w:type="dxa"/>
            <w:shd w:val="clear" w:color="auto" w:fill="auto"/>
            <w:noWrap/>
            <w:vAlign w:val="center"/>
            <w:hideMark/>
          </w:tcPr>
          <w:p w14:paraId="6F8A7479"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0.01%</w:t>
            </w:r>
          </w:p>
        </w:tc>
      </w:tr>
      <w:tr w:rsidR="00EA14CC" w:rsidRPr="005051F2" w14:paraId="7FA9048B" w14:textId="77777777" w:rsidTr="00A958F2">
        <w:trPr>
          <w:trHeight w:val="340"/>
        </w:trPr>
        <w:tc>
          <w:tcPr>
            <w:tcW w:w="5380" w:type="dxa"/>
            <w:shd w:val="clear" w:color="auto" w:fill="auto"/>
            <w:noWrap/>
            <w:vAlign w:val="center"/>
            <w:hideMark/>
          </w:tcPr>
          <w:p w14:paraId="6BB34578"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Foreign_Exchange.NDF.Forward</w:t>
            </w:r>
            <w:proofErr w:type="spellEnd"/>
          </w:p>
        </w:tc>
        <w:tc>
          <w:tcPr>
            <w:tcW w:w="1131" w:type="dxa"/>
            <w:shd w:val="clear" w:color="auto" w:fill="auto"/>
            <w:noWrap/>
            <w:vAlign w:val="center"/>
            <w:hideMark/>
          </w:tcPr>
          <w:p w14:paraId="577D02D4"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700,208</w:t>
            </w:r>
          </w:p>
        </w:tc>
        <w:tc>
          <w:tcPr>
            <w:tcW w:w="1422" w:type="dxa"/>
            <w:shd w:val="clear" w:color="auto" w:fill="auto"/>
            <w:noWrap/>
            <w:vAlign w:val="center"/>
            <w:hideMark/>
          </w:tcPr>
          <w:p w14:paraId="71E27121" w14:textId="75C9A48C"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1,371</w:t>
            </w:r>
          </w:p>
        </w:tc>
        <w:tc>
          <w:tcPr>
            <w:tcW w:w="1276" w:type="dxa"/>
            <w:shd w:val="clear" w:color="auto" w:fill="auto"/>
            <w:noWrap/>
            <w:vAlign w:val="center"/>
            <w:hideMark/>
          </w:tcPr>
          <w:p w14:paraId="171AF155"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0.20%</w:t>
            </w:r>
          </w:p>
        </w:tc>
      </w:tr>
      <w:tr w:rsidR="00EA14CC" w:rsidRPr="005051F2" w14:paraId="22AECD6B" w14:textId="77777777" w:rsidTr="00A958F2">
        <w:trPr>
          <w:trHeight w:val="340"/>
        </w:trPr>
        <w:tc>
          <w:tcPr>
            <w:tcW w:w="5380" w:type="dxa"/>
            <w:shd w:val="clear" w:color="auto" w:fill="auto"/>
            <w:noWrap/>
            <w:vAlign w:val="center"/>
            <w:hideMark/>
          </w:tcPr>
          <w:p w14:paraId="12205151"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Foreign_Exchange.NDO.Option</w:t>
            </w:r>
            <w:proofErr w:type="spellEnd"/>
          </w:p>
        </w:tc>
        <w:tc>
          <w:tcPr>
            <w:tcW w:w="1131" w:type="dxa"/>
            <w:shd w:val="clear" w:color="auto" w:fill="auto"/>
            <w:noWrap/>
            <w:vAlign w:val="center"/>
            <w:hideMark/>
          </w:tcPr>
          <w:p w14:paraId="7CDC5DF9"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327,944</w:t>
            </w:r>
          </w:p>
        </w:tc>
        <w:tc>
          <w:tcPr>
            <w:tcW w:w="1422" w:type="dxa"/>
            <w:shd w:val="clear" w:color="auto" w:fill="auto"/>
            <w:noWrap/>
            <w:vAlign w:val="center"/>
            <w:hideMark/>
          </w:tcPr>
          <w:p w14:paraId="2D0E1996" w14:textId="34E74364"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1,241</w:t>
            </w:r>
          </w:p>
        </w:tc>
        <w:tc>
          <w:tcPr>
            <w:tcW w:w="1276" w:type="dxa"/>
            <w:shd w:val="clear" w:color="auto" w:fill="auto"/>
            <w:noWrap/>
            <w:vAlign w:val="center"/>
            <w:hideMark/>
          </w:tcPr>
          <w:p w14:paraId="10F85A59"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0.38%</w:t>
            </w:r>
          </w:p>
        </w:tc>
      </w:tr>
      <w:tr w:rsidR="00EA14CC" w:rsidRPr="005051F2" w14:paraId="76A02286" w14:textId="77777777" w:rsidTr="00A958F2">
        <w:trPr>
          <w:trHeight w:val="340"/>
        </w:trPr>
        <w:tc>
          <w:tcPr>
            <w:tcW w:w="5380" w:type="dxa"/>
            <w:shd w:val="clear" w:color="auto" w:fill="auto"/>
            <w:noWrap/>
            <w:vAlign w:val="center"/>
            <w:hideMark/>
          </w:tcPr>
          <w:p w14:paraId="270B477B"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Foreign_Exchange.Vanilla_Option.Option</w:t>
            </w:r>
            <w:proofErr w:type="spellEnd"/>
          </w:p>
        </w:tc>
        <w:tc>
          <w:tcPr>
            <w:tcW w:w="1131" w:type="dxa"/>
            <w:shd w:val="clear" w:color="auto" w:fill="auto"/>
            <w:noWrap/>
            <w:vAlign w:val="center"/>
            <w:hideMark/>
          </w:tcPr>
          <w:p w14:paraId="76C209B4"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1,289,203</w:t>
            </w:r>
          </w:p>
        </w:tc>
        <w:tc>
          <w:tcPr>
            <w:tcW w:w="1422" w:type="dxa"/>
            <w:shd w:val="clear" w:color="auto" w:fill="auto"/>
            <w:noWrap/>
            <w:vAlign w:val="center"/>
            <w:hideMark/>
          </w:tcPr>
          <w:p w14:paraId="0CFB3E4C" w14:textId="57D0C9DF"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1,637</w:t>
            </w:r>
          </w:p>
        </w:tc>
        <w:tc>
          <w:tcPr>
            <w:tcW w:w="1276" w:type="dxa"/>
            <w:shd w:val="clear" w:color="auto" w:fill="auto"/>
            <w:noWrap/>
            <w:vAlign w:val="center"/>
            <w:hideMark/>
          </w:tcPr>
          <w:p w14:paraId="1D919F7C"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0.13%</w:t>
            </w:r>
          </w:p>
        </w:tc>
      </w:tr>
      <w:tr w:rsidR="00EA14CC" w:rsidRPr="005051F2" w14:paraId="176A8399" w14:textId="77777777" w:rsidTr="00A958F2">
        <w:trPr>
          <w:trHeight w:val="340"/>
        </w:trPr>
        <w:tc>
          <w:tcPr>
            <w:tcW w:w="9209" w:type="dxa"/>
            <w:gridSpan w:val="4"/>
            <w:shd w:val="clear" w:color="000000" w:fill="A9E4E9"/>
            <w:noWrap/>
            <w:vAlign w:val="center"/>
            <w:hideMark/>
          </w:tcPr>
          <w:p w14:paraId="78595DA5" w14:textId="77777777" w:rsidR="005051F2" w:rsidRPr="005051F2" w:rsidRDefault="005051F2" w:rsidP="00A958F2">
            <w:pPr>
              <w:spacing w:after="0" w:line="276" w:lineRule="auto"/>
              <w:rPr>
                <w:rFonts w:ascii="Calibri" w:eastAsia="Times New Roman" w:hAnsi="Calibri" w:cs="Calibri"/>
                <w:b/>
                <w:bCs/>
                <w:sz w:val="20"/>
                <w:szCs w:val="20"/>
                <w:lang w:eastAsia="en-GB"/>
              </w:rPr>
            </w:pPr>
            <w:r w:rsidRPr="005051F2">
              <w:rPr>
                <w:rFonts w:ascii="Calibri" w:eastAsia="Times New Roman" w:hAnsi="Calibri" w:cs="Calibri"/>
                <w:b/>
                <w:bCs/>
                <w:sz w:val="20"/>
                <w:szCs w:val="20"/>
                <w:lang w:eastAsia="en-GB"/>
              </w:rPr>
              <w:lastRenderedPageBreak/>
              <w:t>Rates</w:t>
            </w:r>
          </w:p>
        </w:tc>
      </w:tr>
      <w:tr w:rsidR="00EA14CC" w:rsidRPr="005051F2" w14:paraId="04730A13" w14:textId="77777777" w:rsidTr="00A958F2">
        <w:trPr>
          <w:trHeight w:val="340"/>
        </w:trPr>
        <w:tc>
          <w:tcPr>
            <w:tcW w:w="5380" w:type="dxa"/>
            <w:shd w:val="clear" w:color="auto" w:fill="auto"/>
            <w:noWrap/>
            <w:vAlign w:val="center"/>
            <w:hideMark/>
          </w:tcPr>
          <w:p w14:paraId="6C473369"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proofErr w:type="gramStart"/>
            <w:r w:rsidRPr="005051F2">
              <w:rPr>
                <w:rFonts w:ascii="Calibri" w:eastAsia="Times New Roman" w:hAnsi="Calibri" w:cs="Calibri"/>
                <w:color w:val="000000"/>
                <w:sz w:val="20"/>
                <w:szCs w:val="20"/>
                <w:lang w:eastAsia="en-GB"/>
              </w:rPr>
              <w:t>Rates.Basis.Swap</w:t>
            </w:r>
            <w:proofErr w:type="spellEnd"/>
            <w:proofErr w:type="gramEnd"/>
          </w:p>
        </w:tc>
        <w:tc>
          <w:tcPr>
            <w:tcW w:w="1131" w:type="dxa"/>
            <w:shd w:val="clear" w:color="auto" w:fill="auto"/>
            <w:noWrap/>
            <w:vAlign w:val="center"/>
            <w:hideMark/>
          </w:tcPr>
          <w:p w14:paraId="028C3125"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1,440,422</w:t>
            </w:r>
          </w:p>
        </w:tc>
        <w:tc>
          <w:tcPr>
            <w:tcW w:w="1422" w:type="dxa"/>
            <w:shd w:val="clear" w:color="auto" w:fill="auto"/>
            <w:noWrap/>
            <w:vAlign w:val="center"/>
            <w:hideMark/>
          </w:tcPr>
          <w:p w14:paraId="5745FE6E" w14:textId="68F0D026"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2,963</w:t>
            </w:r>
          </w:p>
        </w:tc>
        <w:tc>
          <w:tcPr>
            <w:tcW w:w="1276" w:type="dxa"/>
            <w:shd w:val="clear" w:color="auto" w:fill="auto"/>
            <w:noWrap/>
            <w:vAlign w:val="center"/>
            <w:hideMark/>
          </w:tcPr>
          <w:p w14:paraId="333E9F53"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0.21%</w:t>
            </w:r>
          </w:p>
        </w:tc>
      </w:tr>
      <w:tr w:rsidR="00EA14CC" w:rsidRPr="005051F2" w14:paraId="447952CD" w14:textId="77777777" w:rsidTr="00A958F2">
        <w:trPr>
          <w:trHeight w:val="340"/>
        </w:trPr>
        <w:tc>
          <w:tcPr>
            <w:tcW w:w="5380" w:type="dxa"/>
            <w:shd w:val="clear" w:color="auto" w:fill="auto"/>
            <w:noWrap/>
            <w:vAlign w:val="center"/>
            <w:hideMark/>
          </w:tcPr>
          <w:p w14:paraId="4C5622FD"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Rates.Cross_Currency_Basis.Swap</w:t>
            </w:r>
            <w:proofErr w:type="spellEnd"/>
          </w:p>
        </w:tc>
        <w:tc>
          <w:tcPr>
            <w:tcW w:w="1131" w:type="dxa"/>
            <w:shd w:val="clear" w:color="auto" w:fill="auto"/>
            <w:noWrap/>
            <w:vAlign w:val="center"/>
            <w:hideMark/>
          </w:tcPr>
          <w:p w14:paraId="1F892492"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684,919</w:t>
            </w:r>
          </w:p>
        </w:tc>
        <w:tc>
          <w:tcPr>
            <w:tcW w:w="1422" w:type="dxa"/>
            <w:shd w:val="clear" w:color="auto" w:fill="auto"/>
            <w:noWrap/>
            <w:vAlign w:val="center"/>
            <w:hideMark/>
          </w:tcPr>
          <w:p w14:paraId="6B4CB4A7" w14:textId="11B9C883"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4,567</w:t>
            </w:r>
          </w:p>
        </w:tc>
        <w:tc>
          <w:tcPr>
            <w:tcW w:w="1276" w:type="dxa"/>
            <w:shd w:val="clear" w:color="auto" w:fill="auto"/>
            <w:noWrap/>
            <w:vAlign w:val="center"/>
            <w:hideMark/>
          </w:tcPr>
          <w:p w14:paraId="78BB4CAC"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0.67%</w:t>
            </w:r>
          </w:p>
        </w:tc>
      </w:tr>
      <w:tr w:rsidR="00EA14CC" w:rsidRPr="005051F2" w14:paraId="1856B4CD" w14:textId="77777777" w:rsidTr="00A958F2">
        <w:trPr>
          <w:trHeight w:val="340"/>
        </w:trPr>
        <w:tc>
          <w:tcPr>
            <w:tcW w:w="5380" w:type="dxa"/>
            <w:shd w:val="clear" w:color="auto" w:fill="auto"/>
            <w:noWrap/>
            <w:vAlign w:val="center"/>
            <w:hideMark/>
          </w:tcPr>
          <w:p w14:paraId="7D6A6719"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Rates.Cross_Currency_Fixed_Float.Swap</w:t>
            </w:r>
            <w:proofErr w:type="spellEnd"/>
          </w:p>
        </w:tc>
        <w:tc>
          <w:tcPr>
            <w:tcW w:w="1131" w:type="dxa"/>
            <w:shd w:val="clear" w:color="auto" w:fill="auto"/>
            <w:noWrap/>
            <w:vAlign w:val="center"/>
            <w:hideMark/>
          </w:tcPr>
          <w:p w14:paraId="7602281C"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233,638</w:t>
            </w:r>
          </w:p>
        </w:tc>
        <w:tc>
          <w:tcPr>
            <w:tcW w:w="1422" w:type="dxa"/>
            <w:shd w:val="clear" w:color="auto" w:fill="auto"/>
            <w:noWrap/>
            <w:vAlign w:val="center"/>
            <w:hideMark/>
          </w:tcPr>
          <w:p w14:paraId="4BC9A817" w14:textId="0DAD49F4"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3,350</w:t>
            </w:r>
          </w:p>
        </w:tc>
        <w:tc>
          <w:tcPr>
            <w:tcW w:w="1276" w:type="dxa"/>
            <w:shd w:val="clear" w:color="auto" w:fill="auto"/>
            <w:noWrap/>
            <w:vAlign w:val="center"/>
            <w:hideMark/>
          </w:tcPr>
          <w:p w14:paraId="1242662E"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1.43%</w:t>
            </w:r>
          </w:p>
        </w:tc>
      </w:tr>
      <w:tr w:rsidR="00EA14CC" w:rsidRPr="005051F2" w14:paraId="52240633" w14:textId="77777777" w:rsidTr="00A958F2">
        <w:trPr>
          <w:trHeight w:val="340"/>
        </w:trPr>
        <w:tc>
          <w:tcPr>
            <w:tcW w:w="5380" w:type="dxa"/>
            <w:shd w:val="clear" w:color="auto" w:fill="auto"/>
            <w:noWrap/>
            <w:vAlign w:val="center"/>
            <w:hideMark/>
          </w:tcPr>
          <w:p w14:paraId="5162D7E4"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Rates.Fixed_Float.Swap</w:t>
            </w:r>
            <w:proofErr w:type="spellEnd"/>
          </w:p>
        </w:tc>
        <w:tc>
          <w:tcPr>
            <w:tcW w:w="1131" w:type="dxa"/>
            <w:shd w:val="clear" w:color="auto" w:fill="auto"/>
            <w:noWrap/>
            <w:vAlign w:val="center"/>
            <w:hideMark/>
          </w:tcPr>
          <w:p w14:paraId="5801213D"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4,680,244</w:t>
            </w:r>
          </w:p>
        </w:tc>
        <w:tc>
          <w:tcPr>
            <w:tcW w:w="1422" w:type="dxa"/>
            <w:shd w:val="clear" w:color="auto" w:fill="auto"/>
            <w:noWrap/>
            <w:vAlign w:val="center"/>
            <w:hideMark/>
          </w:tcPr>
          <w:p w14:paraId="3E651214" w14:textId="7243F010"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4,586</w:t>
            </w:r>
          </w:p>
        </w:tc>
        <w:tc>
          <w:tcPr>
            <w:tcW w:w="1276" w:type="dxa"/>
            <w:shd w:val="clear" w:color="auto" w:fill="auto"/>
            <w:noWrap/>
            <w:vAlign w:val="center"/>
            <w:hideMark/>
          </w:tcPr>
          <w:p w14:paraId="467358D7"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0.10%</w:t>
            </w:r>
          </w:p>
        </w:tc>
      </w:tr>
      <w:tr w:rsidR="00EA14CC" w:rsidRPr="005051F2" w14:paraId="7089D0CB" w14:textId="77777777" w:rsidTr="00A958F2">
        <w:trPr>
          <w:trHeight w:val="340"/>
        </w:trPr>
        <w:tc>
          <w:tcPr>
            <w:tcW w:w="5380" w:type="dxa"/>
            <w:shd w:val="clear" w:color="auto" w:fill="auto"/>
            <w:noWrap/>
            <w:vAlign w:val="center"/>
            <w:hideMark/>
          </w:tcPr>
          <w:p w14:paraId="4B0EA10D"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Rates.Fixed_Float_OIS.Swap</w:t>
            </w:r>
            <w:proofErr w:type="spellEnd"/>
          </w:p>
        </w:tc>
        <w:tc>
          <w:tcPr>
            <w:tcW w:w="1131" w:type="dxa"/>
            <w:shd w:val="clear" w:color="auto" w:fill="auto"/>
            <w:noWrap/>
            <w:vAlign w:val="center"/>
            <w:hideMark/>
          </w:tcPr>
          <w:p w14:paraId="0B45575A"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1,161,524</w:t>
            </w:r>
          </w:p>
        </w:tc>
        <w:tc>
          <w:tcPr>
            <w:tcW w:w="1422" w:type="dxa"/>
            <w:shd w:val="clear" w:color="auto" w:fill="auto"/>
            <w:noWrap/>
            <w:vAlign w:val="center"/>
            <w:hideMark/>
          </w:tcPr>
          <w:p w14:paraId="7E34D32F" w14:textId="275F7411"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2,875</w:t>
            </w:r>
          </w:p>
        </w:tc>
        <w:tc>
          <w:tcPr>
            <w:tcW w:w="1276" w:type="dxa"/>
            <w:shd w:val="clear" w:color="auto" w:fill="auto"/>
            <w:noWrap/>
            <w:vAlign w:val="center"/>
            <w:hideMark/>
          </w:tcPr>
          <w:p w14:paraId="4B96BAD1"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0.25%</w:t>
            </w:r>
          </w:p>
        </w:tc>
      </w:tr>
      <w:tr w:rsidR="00EA14CC" w:rsidRPr="005051F2" w14:paraId="37315F96" w14:textId="77777777" w:rsidTr="00A958F2">
        <w:trPr>
          <w:trHeight w:val="340"/>
        </w:trPr>
        <w:tc>
          <w:tcPr>
            <w:tcW w:w="5380" w:type="dxa"/>
            <w:shd w:val="clear" w:color="auto" w:fill="auto"/>
            <w:noWrap/>
            <w:vAlign w:val="center"/>
            <w:hideMark/>
          </w:tcPr>
          <w:p w14:paraId="721BF906"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Rates.FRA_Index.Forward</w:t>
            </w:r>
            <w:proofErr w:type="spellEnd"/>
          </w:p>
        </w:tc>
        <w:tc>
          <w:tcPr>
            <w:tcW w:w="1131" w:type="dxa"/>
            <w:shd w:val="clear" w:color="auto" w:fill="auto"/>
            <w:noWrap/>
            <w:vAlign w:val="center"/>
            <w:hideMark/>
          </w:tcPr>
          <w:p w14:paraId="362D4FFE"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395,601</w:t>
            </w:r>
          </w:p>
        </w:tc>
        <w:tc>
          <w:tcPr>
            <w:tcW w:w="1422" w:type="dxa"/>
            <w:shd w:val="clear" w:color="auto" w:fill="auto"/>
            <w:noWrap/>
            <w:vAlign w:val="center"/>
            <w:hideMark/>
          </w:tcPr>
          <w:p w14:paraId="0362A403" w14:textId="22BC628A"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1,330</w:t>
            </w:r>
          </w:p>
        </w:tc>
        <w:tc>
          <w:tcPr>
            <w:tcW w:w="1276" w:type="dxa"/>
            <w:shd w:val="clear" w:color="auto" w:fill="auto"/>
            <w:noWrap/>
            <w:vAlign w:val="center"/>
            <w:hideMark/>
          </w:tcPr>
          <w:p w14:paraId="7A3AA74E"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0.34%</w:t>
            </w:r>
          </w:p>
        </w:tc>
      </w:tr>
      <w:tr w:rsidR="00EA14CC" w:rsidRPr="005051F2" w14:paraId="43460014" w14:textId="77777777" w:rsidTr="00A958F2">
        <w:trPr>
          <w:trHeight w:val="340"/>
        </w:trPr>
        <w:tc>
          <w:tcPr>
            <w:tcW w:w="5380" w:type="dxa"/>
            <w:shd w:val="clear" w:color="auto" w:fill="auto"/>
            <w:noWrap/>
            <w:vAlign w:val="center"/>
            <w:hideMark/>
          </w:tcPr>
          <w:p w14:paraId="7C2CC7E5" w14:textId="77777777" w:rsidR="005051F2" w:rsidRPr="005051F2" w:rsidRDefault="005051F2" w:rsidP="00A958F2">
            <w:pPr>
              <w:spacing w:after="0" w:line="276" w:lineRule="auto"/>
              <w:rPr>
                <w:rFonts w:ascii="Calibri" w:eastAsia="Times New Roman" w:hAnsi="Calibri" w:cs="Calibri"/>
                <w:color w:val="000000"/>
                <w:sz w:val="20"/>
                <w:szCs w:val="20"/>
                <w:lang w:eastAsia="en-GB"/>
              </w:rPr>
            </w:pPr>
            <w:proofErr w:type="spellStart"/>
            <w:r w:rsidRPr="005051F2">
              <w:rPr>
                <w:rFonts w:ascii="Calibri" w:eastAsia="Times New Roman" w:hAnsi="Calibri" w:cs="Calibri"/>
                <w:color w:val="000000"/>
                <w:sz w:val="20"/>
                <w:szCs w:val="20"/>
                <w:lang w:eastAsia="en-GB"/>
              </w:rPr>
              <w:t>Rates.Inflation_Swap.Swap</w:t>
            </w:r>
            <w:proofErr w:type="spellEnd"/>
          </w:p>
        </w:tc>
        <w:tc>
          <w:tcPr>
            <w:tcW w:w="1131" w:type="dxa"/>
            <w:shd w:val="clear" w:color="auto" w:fill="auto"/>
            <w:noWrap/>
            <w:vAlign w:val="center"/>
            <w:hideMark/>
          </w:tcPr>
          <w:p w14:paraId="5CFD8431" w14:textId="77777777"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293,466</w:t>
            </w:r>
          </w:p>
        </w:tc>
        <w:tc>
          <w:tcPr>
            <w:tcW w:w="1422" w:type="dxa"/>
            <w:shd w:val="clear" w:color="auto" w:fill="auto"/>
            <w:noWrap/>
            <w:vAlign w:val="center"/>
            <w:hideMark/>
          </w:tcPr>
          <w:p w14:paraId="04C52A24" w14:textId="64F5A9EF" w:rsidR="005051F2" w:rsidRPr="005051F2" w:rsidRDefault="005051F2" w:rsidP="00A958F2">
            <w:pPr>
              <w:spacing w:after="0" w:line="276" w:lineRule="auto"/>
              <w:jc w:val="right"/>
              <w:rPr>
                <w:rFonts w:ascii="Calibri" w:eastAsia="Times New Roman" w:hAnsi="Calibri" w:cs="Calibri"/>
                <w:color w:val="000000"/>
                <w:sz w:val="20"/>
                <w:szCs w:val="20"/>
                <w:lang w:eastAsia="en-GB"/>
              </w:rPr>
            </w:pPr>
            <w:r w:rsidRPr="005051F2">
              <w:rPr>
                <w:rFonts w:ascii="Calibri" w:eastAsia="Times New Roman" w:hAnsi="Calibri" w:cs="Calibri"/>
                <w:color w:val="000000"/>
                <w:sz w:val="20"/>
                <w:szCs w:val="20"/>
                <w:lang w:eastAsia="en-GB"/>
              </w:rPr>
              <w:t>1,173</w:t>
            </w:r>
          </w:p>
        </w:tc>
        <w:tc>
          <w:tcPr>
            <w:tcW w:w="1276" w:type="dxa"/>
            <w:shd w:val="clear" w:color="auto" w:fill="auto"/>
            <w:noWrap/>
            <w:vAlign w:val="center"/>
            <w:hideMark/>
          </w:tcPr>
          <w:p w14:paraId="1AEE4E7E" w14:textId="77777777" w:rsidR="005051F2" w:rsidRPr="005051F2" w:rsidRDefault="005051F2" w:rsidP="00A958F2">
            <w:pPr>
              <w:spacing w:after="0" w:line="276" w:lineRule="auto"/>
              <w:jc w:val="right"/>
              <w:rPr>
                <w:rFonts w:ascii="Calibri" w:eastAsia="Times New Roman" w:hAnsi="Calibri" w:cs="Calibri"/>
                <w:sz w:val="20"/>
                <w:szCs w:val="20"/>
                <w:lang w:eastAsia="en-GB"/>
              </w:rPr>
            </w:pPr>
            <w:r w:rsidRPr="005051F2">
              <w:rPr>
                <w:rFonts w:ascii="Calibri" w:eastAsia="Times New Roman" w:hAnsi="Calibri" w:cs="Calibri"/>
                <w:sz w:val="20"/>
                <w:szCs w:val="20"/>
                <w:lang w:eastAsia="en-GB"/>
              </w:rPr>
              <w:t>0.40%</w:t>
            </w:r>
          </w:p>
        </w:tc>
      </w:tr>
      <w:tr w:rsidR="00EA14CC" w:rsidRPr="005051F2" w14:paraId="30ACD123" w14:textId="77777777" w:rsidTr="00A958F2">
        <w:trPr>
          <w:trHeight w:val="470"/>
        </w:trPr>
        <w:tc>
          <w:tcPr>
            <w:tcW w:w="5380" w:type="dxa"/>
            <w:shd w:val="clear" w:color="000000" w:fill="30AEB9"/>
            <w:noWrap/>
            <w:vAlign w:val="center"/>
            <w:hideMark/>
          </w:tcPr>
          <w:p w14:paraId="6F7DE3F7" w14:textId="77777777" w:rsidR="005051F2" w:rsidRPr="005051F2" w:rsidRDefault="005051F2" w:rsidP="00A958F2">
            <w:pPr>
              <w:spacing w:after="0" w:line="276" w:lineRule="auto"/>
              <w:rPr>
                <w:rFonts w:ascii="Calibri" w:eastAsia="Times New Roman" w:hAnsi="Calibri" w:cs="Calibri"/>
                <w:b/>
                <w:bCs/>
                <w:color w:val="FFFFFF"/>
                <w:sz w:val="20"/>
                <w:szCs w:val="20"/>
                <w:lang w:eastAsia="en-GB"/>
              </w:rPr>
            </w:pPr>
            <w:r w:rsidRPr="005051F2">
              <w:rPr>
                <w:rFonts w:ascii="Calibri" w:eastAsia="Times New Roman" w:hAnsi="Calibri" w:cs="Calibri"/>
                <w:b/>
                <w:bCs/>
                <w:color w:val="FFFFFF"/>
                <w:sz w:val="20"/>
                <w:szCs w:val="20"/>
                <w:lang w:eastAsia="en-GB"/>
              </w:rPr>
              <w:t>TOTAL</w:t>
            </w:r>
          </w:p>
        </w:tc>
        <w:tc>
          <w:tcPr>
            <w:tcW w:w="1131" w:type="dxa"/>
            <w:shd w:val="clear" w:color="000000" w:fill="30AEB9"/>
            <w:noWrap/>
            <w:vAlign w:val="center"/>
            <w:hideMark/>
          </w:tcPr>
          <w:p w14:paraId="4B9F7FBA" w14:textId="71D8BA58" w:rsidR="005051F2" w:rsidRPr="005051F2" w:rsidRDefault="005051F2" w:rsidP="00A958F2">
            <w:pPr>
              <w:spacing w:after="0" w:line="276" w:lineRule="auto"/>
              <w:jc w:val="right"/>
              <w:rPr>
                <w:rFonts w:ascii="Calibri" w:eastAsia="Times New Roman" w:hAnsi="Calibri" w:cs="Calibri"/>
                <w:b/>
                <w:bCs/>
                <w:color w:val="FFFFFF"/>
                <w:sz w:val="20"/>
                <w:szCs w:val="20"/>
                <w:lang w:eastAsia="en-GB"/>
              </w:rPr>
            </w:pPr>
            <w:r w:rsidRPr="005051F2">
              <w:rPr>
                <w:rFonts w:ascii="Calibri" w:eastAsia="Times New Roman" w:hAnsi="Calibri" w:cs="Calibri"/>
                <w:b/>
                <w:bCs/>
                <w:color w:val="FFFFFF"/>
                <w:sz w:val="20"/>
                <w:szCs w:val="20"/>
                <w:lang w:eastAsia="en-GB"/>
              </w:rPr>
              <w:t>41,754,283</w:t>
            </w:r>
          </w:p>
        </w:tc>
        <w:tc>
          <w:tcPr>
            <w:tcW w:w="1422" w:type="dxa"/>
            <w:shd w:val="clear" w:color="000000" w:fill="30AEB9"/>
            <w:noWrap/>
            <w:vAlign w:val="center"/>
            <w:hideMark/>
          </w:tcPr>
          <w:p w14:paraId="40F3EC4B" w14:textId="014CC27F" w:rsidR="005051F2" w:rsidRPr="005051F2" w:rsidRDefault="005051F2" w:rsidP="00A958F2">
            <w:pPr>
              <w:spacing w:after="0" w:line="276" w:lineRule="auto"/>
              <w:jc w:val="right"/>
              <w:rPr>
                <w:rFonts w:ascii="Calibri" w:eastAsia="Times New Roman" w:hAnsi="Calibri" w:cs="Calibri"/>
                <w:b/>
                <w:bCs/>
                <w:color w:val="FFFFFF"/>
                <w:sz w:val="20"/>
                <w:szCs w:val="20"/>
                <w:lang w:eastAsia="en-GB"/>
              </w:rPr>
            </w:pPr>
            <w:r w:rsidRPr="005051F2">
              <w:rPr>
                <w:rFonts w:ascii="Calibri" w:eastAsia="Times New Roman" w:hAnsi="Calibri" w:cs="Calibri"/>
                <w:b/>
                <w:bCs/>
                <w:color w:val="FFFFFF"/>
                <w:sz w:val="20"/>
                <w:szCs w:val="20"/>
                <w:lang w:eastAsia="en-GB"/>
              </w:rPr>
              <w:t>292,591</w:t>
            </w:r>
          </w:p>
        </w:tc>
        <w:tc>
          <w:tcPr>
            <w:tcW w:w="1276" w:type="dxa"/>
            <w:shd w:val="clear" w:color="000000" w:fill="30AEB9"/>
            <w:noWrap/>
            <w:vAlign w:val="center"/>
            <w:hideMark/>
          </w:tcPr>
          <w:p w14:paraId="68BCDE66" w14:textId="77777777" w:rsidR="005051F2" w:rsidRPr="005051F2" w:rsidRDefault="005051F2" w:rsidP="00A958F2">
            <w:pPr>
              <w:spacing w:after="0" w:line="276" w:lineRule="auto"/>
              <w:jc w:val="right"/>
              <w:rPr>
                <w:rFonts w:ascii="Calibri" w:eastAsia="Times New Roman" w:hAnsi="Calibri" w:cs="Calibri"/>
                <w:b/>
                <w:bCs/>
                <w:color w:val="FFFFFF"/>
                <w:sz w:val="20"/>
                <w:szCs w:val="20"/>
                <w:lang w:eastAsia="en-GB"/>
              </w:rPr>
            </w:pPr>
            <w:r w:rsidRPr="005051F2">
              <w:rPr>
                <w:rFonts w:ascii="Calibri" w:eastAsia="Times New Roman" w:hAnsi="Calibri" w:cs="Calibri"/>
                <w:b/>
                <w:bCs/>
                <w:color w:val="FFFFFF"/>
                <w:sz w:val="20"/>
                <w:szCs w:val="20"/>
                <w:lang w:eastAsia="en-GB"/>
              </w:rPr>
              <w:t>0.70%</w:t>
            </w:r>
          </w:p>
        </w:tc>
      </w:tr>
    </w:tbl>
    <w:p w14:paraId="33367350" w14:textId="77777777" w:rsidR="00980ADC" w:rsidRDefault="00980ADC" w:rsidP="00A958F2">
      <w:pPr>
        <w:spacing w:line="276" w:lineRule="auto"/>
        <w:rPr>
          <w:lang w:val="it-IT"/>
        </w:rPr>
      </w:pPr>
    </w:p>
    <w:p w14:paraId="59114CDE" w14:textId="4DCC571B" w:rsidR="00F7617C" w:rsidRPr="00A958F2" w:rsidRDefault="00F7617C" w:rsidP="00A958F2">
      <w:pPr>
        <w:spacing w:line="276" w:lineRule="auto"/>
        <w:rPr>
          <w:rFonts w:asciiTheme="majorHAnsi" w:eastAsiaTheme="majorEastAsia" w:hAnsiTheme="majorHAnsi" w:cstheme="majorBidi"/>
          <w:color w:val="2E74B5" w:themeColor="accent1" w:themeShade="BF"/>
          <w:sz w:val="26"/>
          <w:szCs w:val="26"/>
          <w:lang w:val="it-IT"/>
        </w:rPr>
      </w:pPr>
      <w:r w:rsidRPr="00A958F2">
        <w:rPr>
          <w:lang w:val="it-IT"/>
        </w:rPr>
        <w:br w:type="page"/>
      </w:r>
    </w:p>
    <w:p w14:paraId="37788297" w14:textId="06079EBA" w:rsidR="000B4A18" w:rsidRPr="00DD54E4" w:rsidRDefault="000B4A18" w:rsidP="007C0DF6">
      <w:pPr>
        <w:pStyle w:val="Heading2"/>
        <w:spacing w:before="0" w:line="276" w:lineRule="auto"/>
        <w:jc w:val="both"/>
      </w:pPr>
      <w:bookmarkStart w:id="612" w:name="_Ref57817085"/>
      <w:bookmarkStart w:id="613" w:name="_Toc61255940"/>
      <w:r w:rsidRPr="00DD54E4">
        <w:lastRenderedPageBreak/>
        <w:t xml:space="preserve">Appendix </w:t>
      </w:r>
      <w:r w:rsidR="00F7617C">
        <w:t>2</w:t>
      </w:r>
      <w:r w:rsidRPr="00DD54E4">
        <w:t xml:space="preserve"> </w:t>
      </w:r>
      <w:r w:rsidR="002D24AB">
        <w:t>–</w:t>
      </w:r>
      <w:r w:rsidRPr="00DD54E4">
        <w:t xml:space="preserve"> </w:t>
      </w:r>
      <w:r w:rsidR="002D24AB">
        <w:t xml:space="preserve">Summary of </w:t>
      </w:r>
      <w:r w:rsidRPr="00DD54E4">
        <w:t>Consultation Questions for Industry</w:t>
      </w:r>
      <w:bookmarkEnd w:id="609"/>
      <w:bookmarkEnd w:id="610"/>
      <w:bookmarkEnd w:id="612"/>
      <w:bookmarkEnd w:id="613"/>
      <w:r w:rsidRPr="00DD54E4">
        <w:t xml:space="preserve"> </w:t>
      </w:r>
    </w:p>
    <w:p w14:paraId="2536BCB7" w14:textId="77777777" w:rsidR="000B4A18" w:rsidRPr="004A5599" w:rsidRDefault="000B4A18" w:rsidP="007C0DF6">
      <w:pPr>
        <w:pStyle w:val="NormalWeb"/>
        <w:spacing w:before="0" w:beforeAutospacing="0" w:line="276" w:lineRule="auto"/>
        <w:jc w:val="both"/>
        <w:rPr>
          <w:rFonts w:asciiTheme="minorHAnsi" w:eastAsiaTheme="minorHAnsi" w:hAnsiTheme="minorHAnsi" w:cstheme="minorBidi"/>
          <w:b/>
          <w:sz w:val="22"/>
          <w:szCs w:val="22"/>
          <w:lang w:val="en-GB"/>
        </w:rPr>
      </w:pPr>
      <w:r w:rsidRPr="004A5599">
        <w:rPr>
          <w:rFonts w:asciiTheme="minorHAnsi" w:eastAsiaTheme="minorHAnsi" w:hAnsiTheme="minorHAnsi" w:cstheme="minorBidi"/>
          <w:b/>
          <w:sz w:val="22"/>
          <w:szCs w:val="22"/>
          <w:lang w:val="en-GB"/>
        </w:rPr>
        <w:t xml:space="preserve">Proposed Format for Industry Responses to the DSB Consultations: </w:t>
      </w:r>
    </w:p>
    <w:p w14:paraId="3FF27480" w14:textId="3F9A4982" w:rsidR="000B4A18" w:rsidRDefault="000B4A18" w:rsidP="00B57710">
      <w:pPr>
        <w:pStyle w:val="ListParagraph"/>
        <w:numPr>
          <w:ilvl w:val="0"/>
          <w:numId w:val="2"/>
        </w:numPr>
        <w:spacing w:after="120" w:line="276" w:lineRule="auto"/>
        <w:contextualSpacing w:val="0"/>
        <w:jc w:val="both"/>
      </w:pPr>
      <w:r>
        <w:t xml:space="preserve">Consultation responses should be completed using the form below and emailed to </w:t>
      </w:r>
      <w:hyperlink r:id="rId30" w:history="1">
        <w:r>
          <w:rPr>
            <w:rStyle w:val="Hyperlink"/>
          </w:rPr>
          <w:t>industry_consultation@anna-dsb.com</w:t>
        </w:r>
      </w:hyperlink>
      <w:r>
        <w:t> </w:t>
      </w:r>
    </w:p>
    <w:p w14:paraId="536C18EF" w14:textId="18A2AAE1" w:rsidR="000B4A18" w:rsidRDefault="000B4A18" w:rsidP="00B57710">
      <w:pPr>
        <w:pStyle w:val="ListParagraph"/>
        <w:numPr>
          <w:ilvl w:val="0"/>
          <w:numId w:val="2"/>
        </w:numPr>
        <w:spacing w:after="120" w:line="276" w:lineRule="auto"/>
        <w:contextualSpacing w:val="0"/>
        <w:jc w:val="both"/>
      </w:pPr>
      <w:r>
        <w:t>An option is provided for respondents to stipulate whether the response is to be treated as anonymous. Note that all responses are published on the DSB website and are not anonymized unless a specific request is made</w:t>
      </w:r>
      <w:r w:rsidR="00DC4DA6">
        <w:t>.</w:t>
      </w:r>
    </w:p>
    <w:p w14:paraId="627DCB3B" w14:textId="77777777" w:rsidR="00E21E99" w:rsidRDefault="00172DAA" w:rsidP="00B57710">
      <w:pPr>
        <w:pStyle w:val="ListParagraph"/>
        <w:numPr>
          <w:ilvl w:val="0"/>
          <w:numId w:val="2"/>
        </w:numPr>
        <w:spacing w:after="120" w:line="276" w:lineRule="auto"/>
        <w:contextualSpacing w:val="0"/>
        <w:jc w:val="both"/>
      </w:pPr>
      <w:r>
        <w:t xml:space="preserve">Respondents </w:t>
      </w:r>
      <w:r w:rsidR="003F2B9C">
        <w:t xml:space="preserve">are requested to state whether they </w:t>
      </w:r>
      <w:r w:rsidRPr="0048715D">
        <w:t xml:space="preserve">concur with the assumptions and principles set out in the document, or propose alternate evidence driven considerations that they believe should be utilized instead and/or alongside the proposals set out in this paper. </w:t>
      </w:r>
    </w:p>
    <w:p w14:paraId="3019EF65" w14:textId="77777777" w:rsidR="0050163A" w:rsidRDefault="00172DAA" w:rsidP="00FC1DE4">
      <w:pPr>
        <w:pStyle w:val="ListParagraph"/>
        <w:numPr>
          <w:ilvl w:val="0"/>
          <w:numId w:val="2"/>
        </w:numPr>
        <w:spacing w:after="120" w:line="276" w:lineRule="auto"/>
        <w:contextualSpacing w:val="0"/>
        <w:jc w:val="both"/>
      </w:pPr>
      <w:r w:rsidRPr="0048715D">
        <w:t xml:space="preserve">Respondents also </w:t>
      </w:r>
      <w:r w:rsidR="00E21E99" w:rsidRPr="0048715D">
        <w:t>can</w:t>
      </w:r>
      <w:r w:rsidRPr="0048715D">
        <w:t xml:space="preserve"> </w:t>
      </w:r>
      <w:r w:rsidR="00E21E99">
        <w:t xml:space="preserve">also </w:t>
      </w:r>
      <w:r w:rsidRPr="0048715D">
        <w:t>provide any general comments in the final section of the response form provided at the end of this paper.</w:t>
      </w:r>
      <w:r w:rsidR="003F2B9C">
        <w:t xml:space="preserve"> </w:t>
      </w:r>
    </w:p>
    <w:p w14:paraId="750558C5" w14:textId="07E0B594" w:rsidR="000B4A18" w:rsidRDefault="00E21E99" w:rsidP="00FC1DE4">
      <w:pPr>
        <w:pStyle w:val="ListParagraph"/>
        <w:numPr>
          <w:ilvl w:val="0"/>
          <w:numId w:val="2"/>
        </w:numPr>
        <w:spacing w:after="120" w:line="276" w:lineRule="auto"/>
        <w:contextualSpacing w:val="0"/>
        <w:jc w:val="both"/>
      </w:pPr>
      <w:r>
        <w:t>Th</w:t>
      </w:r>
      <w:r w:rsidR="00836017">
        <w:t xml:space="preserve">e consultation enables </w:t>
      </w:r>
      <w:r>
        <w:t xml:space="preserve">the DSB to </w:t>
      </w:r>
      <w:r w:rsidR="000B4A18">
        <w:t>ensure that the DSB can work to reflect the best target solution sought by industry (within the governance framework of the utility)</w:t>
      </w:r>
      <w:r w:rsidR="00DC4DA6">
        <w:t>.</w:t>
      </w:r>
      <w:r w:rsidR="000B4A18">
        <w:t> </w:t>
      </w:r>
    </w:p>
    <w:p w14:paraId="692B7680" w14:textId="2375B202" w:rsidR="000B4A18" w:rsidRDefault="000B4A18" w:rsidP="00B57710">
      <w:pPr>
        <w:pStyle w:val="ListParagraph"/>
        <w:numPr>
          <w:ilvl w:val="0"/>
          <w:numId w:val="2"/>
        </w:numPr>
        <w:spacing w:after="120" w:line="276" w:lineRule="auto"/>
        <w:contextualSpacing w:val="0"/>
        <w:jc w:val="both"/>
      </w:pPr>
      <w:r>
        <w:t>As with prior consultations, each organization is permitted a single response</w:t>
      </w:r>
      <w:r w:rsidR="00DC4DA6">
        <w:t xml:space="preserve">. </w:t>
      </w:r>
      <w:r>
        <w:t xml:space="preserve"> </w:t>
      </w:r>
    </w:p>
    <w:p w14:paraId="436DECEF" w14:textId="22F69533" w:rsidR="000B4A18" w:rsidRDefault="000B4A18" w:rsidP="00B57710">
      <w:pPr>
        <w:pStyle w:val="ListParagraph"/>
        <w:numPr>
          <w:ilvl w:val="0"/>
          <w:numId w:val="2"/>
        </w:numPr>
        <w:spacing w:after="120" w:line="276" w:lineRule="auto"/>
        <w:contextualSpacing w:val="0"/>
        <w:jc w:val="both"/>
      </w:pPr>
      <w:r>
        <w:t>Responses should include details of the type of organization responding to the consultation and its current user category to enable the DSB to analyse client needs in more detail and include anonymized statistics as part of the second consultation report</w:t>
      </w:r>
      <w:r w:rsidR="00DC4DA6">
        <w:t xml:space="preserve">. </w:t>
      </w:r>
      <w:r>
        <w:t xml:space="preserve"> </w:t>
      </w:r>
    </w:p>
    <w:p w14:paraId="6B275DE5" w14:textId="3924363F" w:rsidR="000B4A18" w:rsidRDefault="000B4A18" w:rsidP="00B57710">
      <w:pPr>
        <w:pStyle w:val="ListParagraph"/>
        <w:numPr>
          <w:ilvl w:val="0"/>
          <w:numId w:val="2"/>
        </w:numPr>
        <w:spacing w:after="120" w:line="276" w:lineRule="auto"/>
        <w:contextualSpacing w:val="0"/>
        <w:jc w:val="both"/>
      </w:pPr>
      <w:r>
        <w:t xml:space="preserve">Responses must be received by 5pm UTC on </w:t>
      </w:r>
      <w:r w:rsidR="00324E77">
        <w:t>Friday 5</w:t>
      </w:r>
      <w:r w:rsidR="00324E77" w:rsidRPr="00324E77">
        <w:rPr>
          <w:vertAlign w:val="superscript"/>
        </w:rPr>
        <w:t>th</w:t>
      </w:r>
      <w:r w:rsidR="00324E77">
        <w:t xml:space="preserve"> March 2021</w:t>
      </w:r>
      <w:r w:rsidR="00DC4DA6">
        <w:t xml:space="preserve">. </w:t>
      </w:r>
    </w:p>
    <w:p w14:paraId="1B1E9A02" w14:textId="6F2A2AAC" w:rsidR="00207CC4" w:rsidRDefault="00EA64FD" w:rsidP="00B57710">
      <w:pPr>
        <w:pStyle w:val="ListParagraph"/>
        <w:numPr>
          <w:ilvl w:val="0"/>
          <w:numId w:val="2"/>
        </w:numPr>
        <w:spacing w:after="120" w:line="276" w:lineRule="auto"/>
        <w:ind w:left="714" w:hanging="357"/>
        <w:contextualSpacing w:val="0"/>
        <w:jc w:val="both"/>
      </w:pPr>
      <w:r>
        <w:t>Two w</w:t>
      </w:r>
      <w:r w:rsidR="000B4A18">
        <w:t>ebinar</w:t>
      </w:r>
      <w:r w:rsidR="007B3C32">
        <w:t>s</w:t>
      </w:r>
      <w:r w:rsidR="000B4A18">
        <w:t xml:space="preserve"> to address consultation related queries will take place</w:t>
      </w:r>
      <w:r>
        <w:t>, with timings to suit</w:t>
      </w:r>
      <w:r w:rsidR="0029482A">
        <w:t xml:space="preserve"> market participants around the globe. </w:t>
      </w:r>
    </w:p>
    <w:p w14:paraId="566D8DB3" w14:textId="1A487D2B" w:rsidR="00FD5A71" w:rsidRDefault="00207CC4" w:rsidP="000A57BB">
      <w:pPr>
        <w:pStyle w:val="ListParagraph"/>
        <w:numPr>
          <w:ilvl w:val="1"/>
          <w:numId w:val="2"/>
        </w:numPr>
        <w:spacing w:after="120" w:line="276" w:lineRule="auto"/>
        <w:contextualSpacing w:val="0"/>
        <w:jc w:val="both"/>
      </w:pPr>
      <w:r>
        <w:t xml:space="preserve">Register </w:t>
      </w:r>
      <w:hyperlink r:id="rId31" w:history="1">
        <w:r w:rsidR="00833717" w:rsidRPr="00F6607D">
          <w:rPr>
            <w:rStyle w:val="Hyperlink"/>
          </w:rPr>
          <w:t>here</w:t>
        </w:r>
      </w:hyperlink>
      <w:r w:rsidR="00833717" w:rsidRPr="00836CF7">
        <w:rPr>
          <w:color w:val="0070C0"/>
          <w:u w:val="single"/>
        </w:rPr>
        <w:t xml:space="preserve"> </w:t>
      </w:r>
      <w:r>
        <w:t xml:space="preserve">for the webinar </w:t>
      </w:r>
      <w:r w:rsidR="00833717">
        <w:t xml:space="preserve">at 6am </w:t>
      </w:r>
      <w:r w:rsidR="004C1F6B">
        <w:t>UTC</w:t>
      </w:r>
      <w:r w:rsidR="004C1F6B">
        <w:rPr>
          <w:rStyle w:val="FootnoteReference"/>
        </w:rPr>
        <w:footnoteReference w:id="49"/>
      </w:r>
      <w:r w:rsidR="00833717">
        <w:t xml:space="preserve"> on Tuesday 2</w:t>
      </w:r>
      <w:r w:rsidR="00833717" w:rsidRPr="000A57BB">
        <w:rPr>
          <w:vertAlign w:val="superscript"/>
        </w:rPr>
        <w:t>nd</w:t>
      </w:r>
      <w:r w:rsidR="00833717">
        <w:t xml:space="preserve"> February 2021</w:t>
      </w:r>
    </w:p>
    <w:p w14:paraId="18221847" w14:textId="33188D15" w:rsidR="001617F6" w:rsidRDefault="000B4A18" w:rsidP="000A57BB">
      <w:pPr>
        <w:pStyle w:val="ListParagraph"/>
        <w:numPr>
          <w:ilvl w:val="1"/>
          <w:numId w:val="2"/>
        </w:numPr>
        <w:spacing w:after="120" w:line="276" w:lineRule="auto"/>
        <w:contextualSpacing w:val="0"/>
        <w:jc w:val="both"/>
      </w:pPr>
      <w:r>
        <w:t xml:space="preserve">Register </w:t>
      </w:r>
      <w:hyperlink r:id="rId32" w:history="1">
        <w:r w:rsidRPr="00F6607D">
          <w:rPr>
            <w:rStyle w:val="Hyperlink"/>
          </w:rPr>
          <w:t>here</w:t>
        </w:r>
      </w:hyperlink>
      <w:r w:rsidR="001617F6" w:rsidRPr="000A57BB">
        <w:rPr>
          <w:color w:val="0070C0"/>
          <w:u w:val="single"/>
        </w:rPr>
        <w:t xml:space="preserve"> </w:t>
      </w:r>
      <w:r w:rsidR="00207CC4">
        <w:t>f</w:t>
      </w:r>
      <w:r w:rsidR="001617F6">
        <w:t xml:space="preserve">or the webinar at 1pm </w:t>
      </w:r>
      <w:r w:rsidR="004A7F9F">
        <w:t>UTC</w:t>
      </w:r>
      <w:r w:rsidR="004A7F9F">
        <w:rPr>
          <w:rStyle w:val="FootnoteReference"/>
        </w:rPr>
        <w:footnoteReference w:id="50"/>
      </w:r>
      <w:r w:rsidR="001617F6">
        <w:t xml:space="preserve"> on </w:t>
      </w:r>
      <w:r w:rsidR="0029482A" w:rsidRPr="00A958F2">
        <w:t>Wednesday 3</w:t>
      </w:r>
      <w:r w:rsidR="00833717" w:rsidRPr="000A57BB">
        <w:rPr>
          <w:vertAlign w:val="superscript"/>
        </w:rPr>
        <w:t>rd</w:t>
      </w:r>
      <w:r w:rsidR="00833717">
        <w:t xml:space="preserve"> </w:t>
      </w:r>
      <w:r w:rsidR="0029482A" w:rsidRPr="00A958F2">
        <w:t>February</w:t>
      </w:r>
      <w:r w:rsidR="00833717">
        <w:t xml:space="preserve"> 2021</w:t>
      </w:r>
    </w:p>
    <w:p w14:paraId="4A674511" w14:textId="77777777" w:rsidR="000B4A18" w:rsidRPr="00E72F19" w:rsidRDefault="000B4A18" w:rsidP="004C0771">
      <w:pPr>
        <w:pStyle w:val="ETSNORMAL12pt"/>
        <w:spacing w:after="120" w:line="276" w:lineRule="auto"/>
        <w:rPr>
          <w:rFonts w:asciiTheme="minorHAnsi" w:hAnsiTheme="minorHAnsi" w:cstheme="minorHAnsi"/>
          <w:color w:val="0070C0"/>
          <w:sz w:val="26"/>
          <w:szCs w:val="26"/>
        </w:rPr>
      </w:pPr>
      <w:bookmarkStart w:id="614" w:name="_Toc7171256"/>
      <w:bookmarkStart w:id="615" w:name="_Toc8250277"/>
      <w:r>
        <w:rPr>
          <w:rFonts w:asciiTheme="minorHAnsi" w:hAnsiTheme="minorHAnsi" w:cstheme="minorHAnsi"/>
          <w:color w:val="0070C0"/>
        </w:rPr>
        <w:t xml:space="preserve">         </w:t>
      </w:r>
      <w:r w:rsidRPr="000A57BB">
        <w:rPr>
          <w:rFonts w:asciiTheme="minorHAnsi" w:hAnsiTheme="minorHAnsi" w:cstheme="minorHAnsi"/>
          <w:color w:val="0070C0"/>
          <w:sz w:val="26"/>
          <w:szCs w:val="26"/>
        </w:rPr>
        <w:t>Respondent Details</w:t>
      </w:r>
      <w:bookmarkEnd w:id="614"/>
      <w:bookmarkEnd w:id="615"/>
      <w:r w:rsidRPr="00E72F19">
        <w:rPr>
          <w:rFonts w:asciiTheme="minorHAnsi" w:hAnsiTheme="minorHAnsi" w:cstheme="minorHAnsi"/>
          <w:color w:val="0070C0"/>
          <w:sz w:val="26"/>
          <w:szCs w:val="26"/>
        </w:rPr>
        <w:t xml:space="preserve"> </w:t>
      </w:r>
    </w:p>
    <w:tbl>
      <w:tblPr>
        <w:tblStyle w:val="TableGrid"/>
        <w:tblW w:w="9067" w:type="dxa"/>
        <w:tblBorders>
          <w:top w:val="single" w:sz="4" w:space="0" w:color="30AEB9"/>
          <w:left w:val="single" w:sz="4" w:space="0" w:color="30AEB9"/>
          <w:bottom w:val="single" w:sz="4" w:space="0" w:color="30AEB9"/>
          <w:right w:val="single" w:sz="4" w:space="0" w:color="30AEB9"/>
          <w:insideH w:val="single" w:sz="4" w:space="0" w:color="30AEB9"/>
          <w:insideV w:val="single" w:sz="4" w:space="0" w:color="30AEB9"/>
        </w:tblBorders>
        <w:tblLook w:val="04A0" w:firstRow="1" w:lastRow="0" w:firstColumn="1" w:lastColumn="0" w:noHBand="0" w:noVBand="1"/>
      </w:tblPr>
      <w:tblGrid>
        <w:gridCol w:w="3964"/>
        <w:gridCol w:w="5103"/>
      </w:tblGrid>
      <w:tr w:rsidR="000B4A18" w:rsidRPr="00C45B29" w14:paraId="3A8D344C" w14:textId="77777777" w:rsidTr="001C4D06">
        <w:trPr>
          <w:trHeight w:val="567"/>
        </w:trPr>
        <w:tc>
          <w:tcPr>
            <w:tcW w:w="3964" w:type="dxa"/>
            <w:vAlign w:val="center"/>
          </w:tcPr>
          <w:p w14:paraId="76D18134" w14:textId="77777777" w:rsidR="000B4A18" w:rsidRPr="00C45B29" w:rsidRDefault="000B4A18" w:rsidP="0099005B">
            <w:pPr>
              <w:spacing w:line="276" w:lineRule="auto"/>
              <w:jc w:val="both"/>
              <w:rPr>
                <w:rFonts w:cstheme="minorHAnsi"/>
              </w:rPr>
            </w:pPr>
            <w:r w:rsidRPr="00C45B29">
              <w:rPr>
                <w:rFonts w:cstheme="minorHAnsi"/>
                <w:b/>
              </w:rPr>
              <w:t>Name</w:t>
            </w:r>
          </w:p>
        </w:tc>
        <w:tc>
          <w:tcPr>
            <w:tcW w:w="5103" w:type="dxa"/>
            <w:vAlign w:val="center"/>
          </w:tcPr>
          <w:p w14:paraId="5E569489" w14:textId="77777777" w:rsidR="000B4A18" w:rsidRPr="00C45B29" w:rsidRDefault="000B4A18" w:rsidP="00D43A80">
            <w:pPr>
              <w:spacing w:line="276" w:lineRule="auto"/>
              <w:jc w:val="both"/>
              <w:rPr>
                <w:rFonts w:cstheme="minorHAnsi"/>
              </w:rPr>
            </w:pPr>
          </w:p>
        </w:tc>
      </w:tr>
      <w:tr w:rsidR="000B4A18" w:rsidRPr="00C45B29" w14:paraId="16523F64" w14:textId="77777777" w:rsidTr="001C4D06">
        <w:trPr>
          <w:trHeight w:val="567"/>
        </w:trPr>
        <w:tc>
          <w:tcPr>
            <w:tcW w:w="3964" w:type="dxa"/>
            <w:vAlign w:val="center"/>
          </w:tcPr>
          <w:p w14:paraId="561C09FF" w14:textId="77777777" w:rsidR="000B4A18" w:rsidRPr="00DA7FD4" w:rsidRDefault="000B4A18" w:rsidP="0099005B">
            <w:pPr>
              <w:spacing w:line="276" w:lineRule="auto"/>
              <w:jc w:val="both"/>
              <w:rPr>
                <w:rFonts w:cstheme="minorHAnsi"/>
                <w:b/>
                <w:bCs/>
              </w:rPr>
            </w:pPr>
            <w:r w:rsidRPr="00DA7FD4">
              <w:rPr>
                <w:rFonts w:cstheme="minorHAnsi"/>
                <w:b/>
                <w:bCs/>
              </w:rPr>
              <w:t>Email Address</w:t>
            </w:r>
          </w:p>
        </w:tc>
        <w:tc>
          <w:tcPr>
            <w:tcW w:w="5103" w:type="dxa"/>
            <w:vAlign w:val="center"/>
          </w:tcPr>
          <w:p w14:paraId="0CB852EE" w14:textId="77777777" w:rsidR="000B4A18" w:rsidRPr="00C45B29" w:rsidRDefault="000B4A18" w:rsidP="00D43A80">
            <w:pPr>
              <w:spacing w:line="276" w:lineRule="auto"/>
              <w:jc w:val="both"/>
              <w:rPr>
                <w:rFonts w:cstheme="minorHAnsi"/>
              </w:rPr>
            </w:pPr>
          </w:p>
        </w:tc>
      </w:tr>
      <w:tr w:rsidR="000B4A18" w:rsidRPr="00C45B29" w14:paraId="281992E8" w14:textId="77777777" w:rsidTr="001C4D06">
        <w:trPr>
          <w:trHeight w:val="567"/>
        </w:trPr>
        <w:tc>
          <w:tcPr>
            <w:tcW w:w="3964" w:type="dxa"/>
            <w:vAlign w:val="center"/>
          </w:tcPr>
          <w:p w14:paraId="6C56AB61" w14:textId="77777777" w:rsidR="000B4A18" w:rsidRPr="00DA7FD4" w:rsidRDefault="000B4A18" w:rsidP="0099005B">
            <w:pPr>
              <w:spacing w:line="276" w:lineRule="auto"/>
              <w:jc w:val="both"/>
              <w:rPr>
                <w:rFonts w:cstheme="minorHAnsi"/>
                <w:b/>
                <w:bCs/>
              </w:rPr>
            </w:pPr>
            <w:r w:rsidRPr="00DA7FD4">
              <w:rPr>
                <w:rFonts w:cstheme="minorHAnsi"/>
                <w:b/>
                <w:bCs/>
              </w:rPr>
              <w:t>Company</w:t>
            </w:r>
          </w:p>
        </w:tc>
        <w:tc>
          <w:tcPr>
            <w:tcW w:w="5103" w:type="dxa"/>
            <w:vAlign w:val="center"/>
          </w:tcPr>
          <w:p w14:paraId="53F99017" w14:textId="77777777" w:rsidR="000B4A18" w:rsidRPr="00C45B29" w:rsidRDefault="000B4A18" w:rsidP="00D43A80">
            <w:pPr>
              <w:spacing w:line="276" w:lineRule="auto"/>
              <w:jc w:val="both"/>
              <w:rPr>
                <w:rFonts w:cstheme="minorHAnsi"/>
              </w:rPr>
            </w:pPr>
          </w:p>
        </w:tc>
      </w:tr>
      <w:tr w:rsidR="000B4A18" w:rsidRPr="00C45B29" w14:paraId="1CF37F83" w14:textId="77777777" w:rsidTr="001C4D06">
        <w:trPr>
          <w:trHeight w:val="567"/>
        </w:trPr>
        <w:tc>
          <w:tcPr>
            <w:tcW w:w="3964" w:type="dxa"/>
            <w:vAlign w:val="center"/>
          </w:tcPr>
          <w:p w14:paraId="78258BDF" w14:textId="77777777" w:rsidR="000B4A18" w:rsidRPr="00DA7FD4" w:rsidRDefault="000B4A18" w:rsidP="0099005B">
            <w:pPr>
              <w:spacing w:line="276" w:lineRule="auto"/>
              <w:jc w:val="both"/>
              <w:rPr>
                <w:rFonts w:cstheme="minorHAnsi"/>
                <w:b/>
                <w:bCs/>
              </w:rPr>
            </w:pPr>
            <w:r w:rsidRPr="00DA7FD4">
              <w:rPr>
                <w:rFonts w:cstheme="minorHAnsi"/>
                <w:b/>
                <w:bCs/>
              </w:rPr>
              <w:t xml:space="preserve">Country </w:t>
            </w:r>
          </w:p>
        </w:tc>
        <w:tc>
          <w:tcPr>
            <w:tcW w:w="5103" w:type="dxa"/>
            <w:vAlign w:val="center"/>
          </w:tcPr>
          <w:p w14:paraId="5373CFB0" w14:textId="77777777" w:rsidR="000B4A18" w:rsidRPr="00C45B29" w:rsidRDefault="000B4A18" w:rsidP="00D43A80">
            <w:pPr>
              <w:spacing w:line="276" w:lineRule="auto"/>
              <w:jc w:val="both"/>
              <w:rPr>
                <w:rFonts w:cstheme="minorHAnsi"/>
              </w:rPr>
            </w:pPr>
          </w:p>
        </w:tc>
      </w:tr>
      <w:tr w:rsidR="000B4A18" w:rsidRPr="00C45B29" w14:paraId="4875262E" w14:textId="77777777" w:rsidTr="001C4D06">
        <w:trPr>
          <w:trHeight w:val="567"/>
        </w:trPr>
        <w:tc>
          <w:tcPr>
            <w:tcW w:w="3964" w:type="dxa"/>
            <w:vAlign w:val="center"/>
          </w:tcPr>
          <w:p w14:paraId="446F7FA2" w14:textId="77777777" w:rsidR="000B4A18" w:rsidRPr="00DA7FD4" w:rsidRDefault="000B4A18" w:rsidP="0099005B">
            <w:pPr>
              <w:spacing w:line="276" w:lineRule="auto"/>
              <w:jc w:val="both"/>
              <w:rPr>
                <w:rFonts w:cstheme="minorHAnsi"/>
                <w:b/>
                <w:bCs/>
              </w:rPr>
            </w:pPr>
            <w:r w:rsidRPr="00DA7FD4">
              <w:rPr>
                <w:rFonts w:cstheme="minorHAnsi"/>
                <w:b/>
                <w:bCs/>
              </w:rPr>
              <w:lastRenderedPageBreak/>
              <w:t>Company Type</w:t>
            </w:r>
          </w:p>
        </w:tc>
        <w:sdt>
          <w:sdtPr>
            <w:rPr>
              <w:rFonts w:cstheme="minorHAnsi"/>
            </w:rPr>
            <w:id w:val="-58944712"/>
            <w:placeholder>
              <w:docPart w:val="7462B59B0BE74F9B9C91775CDB3564DC"/>
            </w:placeholder>
            <w:showingPlcHdr/>
            <w:comboBox>
              <w:listItem w:displayText="Approved Publications Arrangement (APA)" w:value="Approved Publications Arrangement (APA)"/>
              <w:listItem w:displayText="Approved Reporting Mechanism (ARM)" w:value="Approved Reporting Mechanism (ARM)"/>
              <w:listItem w:displayText="Broker" w:value="Broker"/>
              <w:listItem w:displayText="Buy Side Investment Firm" w:value="Buy Side Investment Firm"/>
              <w:listItem w:displayText="Clearing House" w:value="Clearing House"/>
              <w:listItem w:displayText="Consultant" w:value="Consultant"/>
              <w:listItem w:displayText="Corporate" w:value="Corporate"/>
              <w:listItem w:displayText="Credit Union" w:value="Credit Union"/>
              <w:listItem w:displayText="Data Vendor" w:value="Data Vendor"/>
              <w:listItem w:displayText="Financial" w:value="Financial"/>
              <w:listItem w:displayText="Individual" w:value="Individual"/>
              <w:listItem w:displayText="Law Firm" w:value="Law Firm"/>
              <w:listItem w:displayText="Multilateral Trading Facility (MTF)" w:value="Multilateral Trading Facility (MTF)"/>
              <w:listItem w:displayText="Organised Trading Facility (OTF)" w:value="Organised Trading Facility (OTF)"/>
              <w:listItem w:displayText="Other" w:value="Other"/>
              <w:listItem w:displayText="Other Intermediary" w:value="Other Intermediary"/>
              <w:listItem w:displayText="Regulated Market" w:value="Regulated Market"/>
              <w:listItem w:displayText="Regulator" w:value="Regulator"/>
              <w:listItem w:displayText="Research Consultancy" w:value="Research Consultancy"/>
              <w:listItem w:displayText="Sell Side Investment firm" w:value="Sell Side Investment firm"/>
              <w:listItem w:displayText="Spread betting firm" w:value="Spread betting firm"/>
              <w:listItem w:displayText="Systematic Internatiliser" w:value="Systematic Internatiliser"/>
              <w:listItem w:displayText="Tech shop" w:value="Tech shop"/>
              <w:listItem w:displayText="Trade Association" w:value="Trade Association"/>
              <w:listItem w:displayText="Wealth Management Services" w:value="Wealth Management Services"/>
            </w:comboBox>
          </w:sdtPr>
          <w:sdtEndPr/>
          <w:sdtContent>
            <w:tc>
              <w:tcPr>
                <w:tcW w:w="5103" w:type="dxa"/>
                <w:vAlign w:val="center"/>
              </w:tcPr>
              <w:p w14:paraId="048048CA" w14:textId="77777777" w:rsidR="000B4A18" w:rsidRPr="00C45B29" w:rsidRDefault="000B4A18" w:rsidP="00D43A80">
                <w:pPr>
                  <w:spacing w:line="276" w:lineRule="auto"/>
                  <w:jc w:val="both"/>
                  <w:rPr>
                    <w:rFonts w:cstheme="minorHAnsi"/>
                  </w:rPr>
                </w:pPr>
                <w:r w:rsidRPr="00C45B29">
                  <w:rPr>
                    <w:rFonts w:cstheme="minorHAnsi"/>
                  </w:rPr>
                  <w:t>Select Type</w:t>
                </w:r>
              </w:p>
            </w:tc>
          </w:sdtContent>
        </w:sdt>
      </w:tr>
      <w:tr w:rsidR="000B4A18" w:rsidRPr="00C45B29" w14:paraId="11A0FE4C" w14:textId="77777777" w:rsidTr="001C4D06">
        <w:trPr>
          <w:trHeight w:val="567"/>
        </w:trPr>
        <w:tc>
          <w:tcPr>
            <w:tcW w:w="3964" w:type="dxa"/>
            <w:vAlign w:val="center"/>
          </w:tcPr>
          <w:p w14:paraId="51468069" w14:textId="77777777" w:rsidR="000B4A18" w:rsidRPr="00DA7FD4" w:rsidRDefault="000B4A18" w:rsidP="0099005B">
            <w:pPr>
              <w:spacing w:line="276" w:lineRule="auto"/>
              <w:jc w:val="both"/>
              <w:rPr>
                <w:rFonts w:cstheme="minorHAnsi"/>
                <w:b/>
                <w:bCs/>
              </w:rPr>
            </w:pPr>
            <w:r w:rsidRPr="00DA7FD4">
              <w:rPr>
                <w:rFonts w:cstheme="minorHAnsi"/>
                <w:b/>
                <w:bCs/>
              </w:rPr>
              <w:t>User Type</w:t>
            </w:r>
          </w:p>
        </w:tc>
        <w:sdt>
          <w:sdtPr>
            <w:rPr>
              <w:rFonts w:cstheme="minorHAnsi"/>
            </w:rPr>
            <w:alias w:val="User Type"/>
            <w:tag w:val="User Type"/>
            <w:id w:val="848065618"/>
            <w:placeholder>
              <w:docPart w:val="584A6562C3074ADCA3EBC077366DCEF3"/>
            </w:placeholder>
            <w:showingPlcHdr/>
            <w:comboBox>
              <w:listItem w:displayText="Power" w:value="Power"/>
              <w:listItem w:displayText="Standard" w:value="Standard"/>
              <w:listItem w:displayText="Infrequent" w:value="Infrequent"/>
              <w:listItem w:displayText="Registered" w:value="Registered"/>
              <w:listItem w:displayText="Not Registered" w:value="Not Registered"/>
            </w:comboBox>
          </w:sdtPr>
          <w:sdtEndPr/>
          <w:sdtContent>
            <w:tc>
              <w:tcPr>
                <w:tcW w:w="5103" w:type="dxa"/>
                <w:vAlign w:val="center"/>
              </w:tcPr>
              <w:p w14:paraId="18B923D9" w14:textId="77777777" w:rsidR="000B4A18" w:rsidRPr="00C45B29" w:rsidRDefault="000B4A18" w:rsidP="00D43A80">
                <w:pPr>
                  <w:spacing w:line="276" w:lineRule="auto"/>
                  <w:jc w:val="both"/>
                  <w:rPr>
                    <w:rFonts w:cstheme="minorHAnsi"/>
                  </w:rPr>
                </w:pPr>
                <w:r w:rsidRPr="00C45B29">
                  <w:rPr>
                    <w:rFonts w:cstheme="minorHAnsi"/>
                  </w:rPr>
                  <w:t>Select Type</w:t>
                </w:r>
              </w:p>
            </w:tc>
          </w:sdtContent>
        </w:sdt>
      </w:tr>
      <w:tr w:rsidR="000B4A18" w:rsidRPr="00C45B29" w14:paraId="6F0348B2" w14:textId="77777777" w:rsidTr="001C4D06">
        <w:trPr>
          <w:trHeight w:val="567"/>
        </w:trPr>
        <w:tc>
          <w:tcPr>
            <w:tcW w:w="3964" w:type="dxa"/>
            <w:vAlign w:val="center"/>
          </w:tcPr>
          <w:p w14:paraId="68486181" w14:textId="77777777" w:rsidR="000B4A18" w:rsidRPr="00DA7FD4" w:rsidRDefault="000B4A18" w:rsidP="0099005B">
            <w:pPr>
              <w:spacing w:line="276" w:lineRule="auto"/>
              <w:jc w:val="both"/>
              <w:rPr>
                <w:rFonts w:cstheme="minorHAnsi"/>
                <w:b/>
                <w:bCs/>
              </w:rPr>
            </w:pPr>
            <w:r w:rsidRPr="00DA7FD4">
              <w:rPr>
                <w:rFonts w:cstheme="minorHAnsi"/>
                <w:b/>
                <w:bCs/>
              </w:rPr>
              <w:t>Select if response should be anonymous</w:t>
            </w:r>
          </w:p>
        </w:tc>
        <w:tc>
          <w:tcPr>
            <w:tcW w:w="5103" w:type="dxa"/>
            <w:vAlign w:val="center"/>
          </w:tcPr>
          <w:p w14:paraId="3BD17F09" w14:textId="77777777" w:rsidR="000B4A18" w:rsidRPr="00C45B29" w:rsidRDefault="000B4A18" w:rsidP="00D43A80">
            <w:pPr>
              <w:spacing w:line="276" w:lineRule="auto"/>
              <w:jc w:val="both"/>
              <w:rPr>
                <w:rFonts w:cstheme="minorHAnsi"/>
              </w:rPr>
            </w:pPr>
            <w:r w:rsidRPr="00C45B29">
              <w:rPr>
                <w:rFonts w:ascii="Segoe UI Symbol" w:hAnsi="Segoe UI Symbol" w:cs="Segoe UI Symbol"/>
                <w:color w:val="000000"/>
              </w:rPr>
              <w:t>☐</w:t>
            </w:r>
          </w:p>
        </w:tc>
      </w:tr>
    </w:tbl>
    <w:p w14:paraId="7CE04838" w14:textId="4ABCCA1A" w:rsidR="00922A58" w:rsidRDefault="00922A58" w:rsidP="007F43FF">
      <w:pPr>
        <w:spacing w:line="276" w:lineRule="auto"/>
        <w:rPr>
          <w:rFonts w:asciiTheme="majorHAnsi" w:eastAsiaTheme="majorEastAsia" w:hAnsiTheme="majorHAnsi" w:cstheme="majorBidi"/>
          <w:color w:val="2E74B5" w:themeColor="accent1" w:themeShade="BF"/>
          <w:sz w:val="32"/>
          <w:szCs w:val="32"/>
        </w:rPr>
      </w:pPr>
    </w:p>
    <w:tbl>
      <w:tblPr>
        <w:tblStyle w:val="TableGrid"/>
        <w:tblW w:w="0" w:type="auto"/>
        <w:tblBorders>
          <w:top w:val="single" w:sz="4" w:space="0" w:color="30AEB9"/>
          <w:left w:val="single" w:sz="4" w:space="0" w:color="30AEB9"/>
          <w:bottom w:val="single" w:sz="4" w:space="0" w:color="30AEB9"/>
          <w:right w:val="single" w:sz="4" w:space="0" w:color="30AEB9"/>
          <w:insideH w:val="single" w:sz="4" w:space="0" w:color="30AEB9"/>
          <w:insideV w:val="single" w:sz="4" w:space="0" w:color="30AEB9"/>
        </w:tblBorders>
        <w:tblLook w:val="04A0" w:firstRow="1" w:lastRow="0" w:firstColumn="1" w:lastColumn="0" w:noHBand="0" w:noVBand="1"/>
      </w:tblPr>
      <w:tblGrid>
        <w:gridCol w:w="704"/>
        <w:gridCol w:w="3827"/>
        <w:gridCol w:w="4395"/>
      </w:tblGrid>
      <w:tr w:rsidR="00B90441" w:rsidRPr="00DB7576" w14:paraId="49E3185B" w14:textId="77777777" w:rsidTr="005245DD">
        <w:trPr>
          <w:tblHeader/>
        </w:trPr>
        <w:tc>
          <w:tcPr>
            <w:tcW w:w="704" w:type="dxa"/>
            <w:shd w:val="clear" w:color="auto" w:fill="30AEB9"/>
            <w:vAlign w:val="center"/>
          </w:tcPr>
          <w:p w14:paraId="350E5AB9" w14:textId="77777777" w:rsidR="00B90441" w:rsidRPr="00DB7576" w:rsidRDefault="00B90441" w:rsidP="005245DD">
            <w:pPr>
              <w:spacing w:line="276" w:lineRule="auto"/>
              <w:rPr>
                <w:rFonts w:cstheme="minorHAnsi"/>
                <w:b/>
                <w:bCs/>
                <w:color w:val="FFFFFF" w:themeColor="background1"/>
              </w:rPr>
            </w:pPr>
            <w:r w:rsidRPr="00DB7576">
              <w:rPr>
                <w:rFonts w:cstheme="minorHAnsi"/>
                <w:b/>
                <w:bCs/>
                <w:color w:val="FFFFFF" w:themeColor="background1"/>
              </w:rPr>
              <w:t>Q#</w:t>
            </w:r>
          </w:p>
        </w:tc>
        <w:tc>
          <w:tcPr>
            <w:tcW w:w="3827" w:type="dxa"/>
            <w:shd w:val="clear" w:color="auto" w:fill="30AEB9"/>
            <w:vAlign w:val="center"/>
          </w:tcPr>
          <w:p w14:paraId="02BB395C" w14:textId="77777777" w:rsidR="00B90441" w:rsidRPr="00DB7576" w:rsidRDefault="00B90441" w:rsidP="005245DD">
            <w:pPr>
              <w:spacing w:line="276" w:lineRule="auto"/>
              <w:rPr>
                <w:rFonts w:cstheme="minorHAnsi"/>
                <w:b/>
                <w:bCs/>
                <w:color w:val="FFFFFF" w:themeColor="background1"/>
              </w:rPr>
            </w:pPr>
            <w:r w:rsidRPr="00DB7576">
              <w:rPr>
                <w:rFonts w:cstheme="minorHAnsi"/>
                <w:b/>
                <w:bCs/>
                <w:color w:val="FFFFFF" w:themeColor="background1"/>
              </w:rPr>
              <w:t>Question</w:t>
            </w:r>
          </w:p>
        </w:tc>
        <w:tc>
          <w:tcPr>
            <w:tcW w:w="4395" w:type="dxa"/>
            <w:shd w:val="clear" w:color="auto" w:fill="30AEB9"/>
            <w:vAlign w:val="center"/>
          </w:tcPr>
          <w:p w14:paraId="63944334" w14:textId="77777777" w:rsidR="00B90441" w:rsidRPr="00DB7576" w:rsidRDefault="00B90441" w:rsidP="005245DD">
            <w:pPr>
              <w:spacing w:line="276" w:lineRule="auto"/>
              <w:rPr>
                <w:rFonts w:cstheme="minorHAnsi"/>
                <w:b/>
                <w:bCs/>
                <w:color w:val="FFFFFF" w:themeColor="background1"/>
              </w:rPr>
            </w:pPr>
            <w:r w:rsidRPr="00DB7576">
              <w:rPr>
                <w:rFonts w:cstheme="minorHAnsi"/>
                <w:b/>
                <w:bCs/>
                <w:color w:val="FFFFFF" w:themeColor="background1"/>
              </w:rPr>
              <w:t>Response</w:t>
            </w:r>
          </w:p>
        </w:tc>
      </w:tr>
      <w:tr w:rsidR="00B90441" w:rsidRPr="00DB7576" w14:paraId="058BEEAF" w14:textId="77777777" w:rsidTr="005245DD">
        <w:trPr>
          <w:trHeight w:val="4247"/>
        </w:trPr>
        <w:tc>
          <w:tcPr>
            <w:tcW w:w="704" w:type="dxa"/>
            <w:vAlign w:val="center"/>
          </w:tcPr>
          <w:p w14:paraId="282A2C35" w14:textId="77777777" w:rsidR="00B90441" w:rsidRPr="00DB7576" w:rsidRDefault="00B90441" w:rsidP="005245DD">
            <w:pPr>
              <w:spacing w:line="276" w:lineRule="auto"/>
              <w:rPr>
                <w:rFonts w:cstheme="minorHAnsi"/>
              </w:rPr>
            </w:pPr>
            <w:r w:rsidRPr="00DB7576">
              <w:rPr>
                <w:rFonts w:cstheme="minorHAnsi"/>
              </w:rPr>
              <w:t>1a</w:t>
            </w:r>
          </w:p>
        </w:tc>
        <w:tc>
          <w:tcPr>
            <w:tcW w:w="3827" w:type="dxa"/>
            <w:vAlign w:val="center"/>
          </w:tcPr>
          <w:p w14:paraId="74EEBC3A" w14:textId="77777777" w:rsidR="00B90441" w:rsidRPr="00DB7576" w:rsidRDefault="00B90441" w:rsidP="005245DD">
            <w:pPr>
              <w:spacing w:line="276" w:lineRule="auto"/>
              <w:rPr>
                <w:rStyle w:val="normaltextrun"/>
                <w:rFonts w:cstheme="minorHAnsi"/>
                <w:bCs/>
                <w:color w:val="000000"/>
              </w:rPr>
            </w:pPr>
            <w:r w:rsidRPr="00DB7576">
              <w:rPr>
                <w:rStyle w:val="normaltextrun"/>
                <w:rFonts w:cstheme="minorHAnsi"/>
                <w:b/>
                <w:color w:val="000000"/>
              </w:rPr>
              <w:t>Summary:</w:t>
            </w:r>
            <w:r w:rsidRPr="00DB7576">
              <w:rPr>
                <w:rStyle w:val="normaltextrun"/>
                <w:rFonts w:cstheme="minorHAnsi"/>
                <w:bCs/>
                <w:color w:val="000000"/>
              </w:rPr>
              <w:t xml:space="preserve"> The DSB estimates approximately that 20,000 organizations globally are likely to connect to the DSB to access UPI data, with supporting rationale set out below. This estimate is predicated on a steady state expectation based on the information set out in the supporting information. </w:t>
            </w:r>
          </w:p>
          <w:p w14:paraId="05B7E826" w14:textId="77777777" w:rsidR="00B90441" w:rsidRPr="00DB7576" w:rsidRDefault="00B90441" w:rsidP="005245DD">
            <w:pPr>
              <w:spacing w:line="276" w:lineRule="auto"/>
              <w:rPr>
                <w:rStyle w:val="normaltextrun"/>
                <w:rFonts w:cstheme="minorHAnsi"/>
                <w:bCs/>
                <w:color w:val="000000"/>
              </w:rPr>
            </w:pPr>
          </w:p>
          <w:p w14:paraId="7B519CA5" w14:textId="77777777" w:rsidR="00B90441" w:rsidRPr="00DB7576" w:rsidRDefault="00B90441" w:rsidP="005245DD">
            <w:pPr>
              <w:spacing w:line="276" w:lineRule="auto"/>
              <w:rPr>
                <w:rFonts w:cstheme="minorHAnsi"/>
              </w:rPr>
            </w:pPr>
            <w:r w:rsidRPr="00DB7576">
              <w:rPr>
                <w:rStyle w:val="normaltextrun"/>
                <w:rFonts w:cstheme="minorHAnsi"/>
                <w:b/>
                <w:color w:val="000000"/>
              </w:rPr>
              <w:t>Question 1a:</w:t>
            </w:r>
            <w:r w:rsidRPr="00DB7576">
              <w:rPr>
                <w:rStyle w:val="normaltextrun"/>
                <w:rFonts w:cstheme="minorHAnsi"/>
                <w:bCs/>
                <w:color w:val="000000"/>
              </w:rPr>
              <w:t xml:space="preserve"> Do you concur with the UPI user connectivity assumptions set out in the supporting information?</w:t>
            </w:r>
            <w:r w:rsidRPr="00DB7576">
              <w:rPr>
                <w:rStyle w:val="normaltextrun"/>
                <w:rFonts w:cstheme="minorHAnsi"/>
                <w:bCs/>
                <w:i/>
                <w:color w:val="000000"/>
              </w:rPr>
              <w:t xml:space="preserve">  </w:t>
            </w:r>
          </w:p>
        </w:tc>
        <w:tc>
          <w:tcPr>
            <w:tcW w:w="4395" w:type="dxa"/>
            <w:vAlign w:val="center"/>
          </w:tcPr>
          <w:p w14:paraId="04F3518B" w14:textId="77777777" w:rsidR="00B90441" w:rsidRPr="00DB7576" w:rsidRDefault="00B90441" w:rsidP="005245DD">
            <w:pPr>
              <w:spacing w:line="276" w:lineRule="auto"/>
              <w:rPr>
                <w:rFonts w:cstheme="minorHAnsi"/>
              </w:rPr>
            </w:pPr>
          </w:p>
        </w:tc>
      </w:tr>
      <w:tr w:rsidR="00B90441" w:rsidRPr="00DB7576" w14:paraId="3E00D1FD" w14:textId="77777777" w:rsidTr="005245DD">
        <w:trPr>
          <w:trHeight w:val="2265"/>
        </w:trPr>
        <w:tc>
          <w:tcPr>
            <w:tcW w:w="704" w:type="dxa"/>
            <w:vAlign w:val="center"/>
          </w:tcPr>
          <w:p w14:paraId="645050FE" w14:textId="77777777" w:rsidR="00B90441" w:rsidRPr="00DB7576" w:rsidRDefault="00B90441" w:rsidP="005245DD">
            <w:pPr>
              <w:spacing w:line="276" w:lineRule="auto"/>
              <w:rPr>
                <w:rFonts w:cstheme="minorHAnsi"/>
              </w:rPr>
            </w:pPr>
            <w:r w:rsidRPr="00DB7576">
              <w:rPr>
                <w:rFonts w:cstheme="minorHAnsi"/>
              </w:rPr>
              <w:t>1b</w:t>
            </w:r>
          </w:p>
        </w:tc>
        <w:tc>
          <w:tcPr>
            <w:tcW w:w="3827" w:type="dxa"/>
            <w:vAlign w:val="center"/>
          </w:tcPr>
          <w:p w14:paraId="783FFA8F" w14:textId="77777777" w:rsidR="00B90441" w:rsidRPr="00DB7576" w:rsidRDefault="00B90441" w:rsidP="005245DD">
            <w:pPr>
              <w:spacing w:line="276" w:lineRule="auto"/>
              <w:rPr>
                <w:rFonts w:cstheme="minorHAnsi"/>
              </w:rPr>
            </w:pPr>
            <w:r w:rsidRPr="00DB7576">
              <w:rPr>
                <w:rStyle w:val="normaltextrun"/>
                <w:rFonts w:cstheme="minorHAnsi"/>
                <w:b/>
                <w:color w:val="000000"/>
              </w:rPr>
              <w:t>Question 1b:</w:t>
            </w:r>
            <w:r w:rsidRPr="00DB7576">
              <w:rPr>
                <w:rStyle w:val="normaltextrun"/>
                <w:rFonts w:cstheme="minorHAnsi"/>
                <w:bCs/>
                <w:color w:val="000000"/>
              </w:rPr>
              <w:t xml:space="preserve"> If not, what specific alternate approach do you recommend? Please provide a clear rationale and cite publicly available sources for any additional data points you believe should be incorporated into the DSB’s assumptions.  </w:t>
            </w:r>
          </w:p>
        </w:tc>
        <w:tc>
          <w:tcPr>
            <w:tcW w:w="4395" w:type="dxa"/>
            <w:vAlign w:val="center"/>
          </w:tcPr>
          <w:p w14:paraId="497C3B6E" w14:textId="77777777" w:rsidR="00B90441" w:rsidRPr="00DB7576" w:rsidRDefault="00B90441" w:rsidP="005245DD">
            <w:pPr>
              <w:spacing w:line="276" w:lineRule="auto"/>
              <w:rPr>
                <w:rFonts w:cstheme="minorHAnsi"/>
              </w:rPr>
            </w:pPr>
          </w:p>
        </w:tc>
      </w:tr>
      <w:tr w:rsidR="00B90441" w:rsidRPr="00DB7576" w14:paraId="1291EB74" w14:textId="77777777" w:rsidTr="005245DD">
        <w:trPr>
          <w:trHeight w:val="5799"/>
        </w:trPr>
        <w:tc>
          <w:tcPr>
            <w:tcW w:w="704" w:type="dxa"/>
            <w:vAlign w:val="center"/>
          </w:tcPr>
          <w:p w14:paraId="4084A762" w14:textId="77777777" w:rsidR="00B90441" w:rsidRPr="00DB7576" w:rsidRDefault="00B90441" w:rsidP="005245DD">
            <w:pPr>
              <w:spacing w:line="276" w:lineRule="auto"/>
              <w:rPr>
                <w:rFonts w:cstheme="minorHAnsi"/>
              </w:rPr>
            </w:pPr>
            <w:r w:rsidRPr="00DB7576">
              <w:rPr>
                <w:rFonts w:cstheme="minorHAnsi"/>
              </w:rPr>
              <w:lastRenderedPageBreak/>
              <w:t>2a</w:t>
            </w:r>
          </w:p>
        </w:tc>
        <w:tc>
          <w:tcPr>
            <w:tcW w:w="3827" w:type="dxa"/>
            <w:vAlign w:val="center"/>
          </w:tcPr>
          <w:p w14:paraId="3C163797" w14:textId="77777777" w:rsidR="00B90441" w:rsidRPr="00DB7576" w:rsidRDefault="00B90441" w:rsidP="005245DD">
            <w:pPr>
              <w:spacing w:line="276" w:lineRule="auto"/>
              <w:rPr>
                <w:rStyle w:val="normaltextrun"/>
                <w:rFonts w:cstheme="minorHAnsi"/>
                <w:bCs/>
                <w:color w:val="000000"/>
              </w:rPr>
            </w:pPr>
            <w:r w:rsidRPr="00DB7576">
              <w:rPr>
                <w:rStyle w:val="normaltextrun"/>
                <w:rFonts w:cstheme="minorHAnsi"/>
                <w:b/>
                <w:color w:val="000000"/>
              </w:rPr>
              <w:t>Summary:</w:t>
            </w:r>
            <w:r w:rsidRPr="00DB7576">
              <w:rPr>
                <w:rStyle w:val="normaltextrun"/>
                <w:rFonts w:cstheme="minorHAnsi"/>
                <w:bCs/>
                <w:color w:val="000000"/>
              </w:rPr>
              <w:t xml:space="preserve"> The DSB anticipates that users will require support for three types of workflows, subject to their regulatory needs. Some users will only require the ability to create, search for and/or download the UPI reference data record, whilst a second category may only require the ability to create, search for and/or download the OTC ISIN, and a third set of (likely global) participants are likely to have reporting needs that require either the UPI or the OTC ISIN, subject to their reporting jurisdiction.   </w:t>
            </w:r>
          </w:p>
          <w:p w14:paraId="3B5F5F4B" w14:textId="77777777" w:rsidR="00B90441" w:rsidRPr="00DB7576" w:rsidRDefault="00B90441" w:rsidP="005245DD">
            <w:pPr>
              <w:spacing w:line="276" w:lineRule="auto"/>
              <w:rPr>
                <w:rStyle w:val="normaltextrun"/>
                <w:rFonts w:cstheme="minorHAnsi"/>
                <w:bCs/>
                <w:color w:val="000000"/>
              </w:rPr>
            </w:pPr>
          </w:p>
          <w:p w14:paraId="54D78601" w14:textId="77777777" w:rsidR="00B90441" w:rsidRPr="00DB7576" w:rsidRDefault="00B90441" w:rsidP="005245DD">
            <w:pPr>
              <w:spacing w:line="276" w:lineRule="auto"/>
              <w:rPr>
                <w:rFonts w:cstheme="minorHAnsi"/>
              </w:rPr>
            </w:pPr>
            <w:r w:rsidRPr="00DB7576">
              <w:rPr>
                <w:rStyle w:val="normaltextrun"/>
                <w:rFonts w:cstheme="minorHAnsi"/>
                <w:b/>
                <w:color w:val="000000"/>
              </w:rPr>
              <w:t>Question 2a</w:t>
            </w:r>
            <w:r w:rsidRPr="00DB7576">
              <w:rPr>
                <w:rStyle w:val="normaltextrun"/>
                <w:rFonts w:cstheme="minorHAnsi"/>
                <w:bCs/>
                <w:color w:val="000000"/>
              </w:rPr>
              <w:t xml:space="preserve">: </w:t>
            </w:r>
            <w:r w:rsidRPr="00DB7576">
              <w:rPr>
                <w:rStyle w:val="normaltextrun"/>
                <w:rFonts w:cstheme="minorHAnsi"/>
                <w:bCs/>
                <w:iCs/>
                <w:color w:val="000000"/>
              </w:rPr>
              <w:t>Do you concur with the anticipated workflows presented in the supporting information?</w:t>
            </w:r>
            <w:r w:rsidRPr="00DB7576">
              <w:rPr>
                <w:rStyle w:val="normaltextrun"/>
                <w:rFonts w:cstheme="minorHAnsi"/>
                <w:bCs/>
                <w:color w:val="000000"/>
              </w:rPr>
              <w:t xml:space="preserve"> </w:t>
            </w:r>
          </w:p>
        </w:tc>
        <w:tc>
          <w:tcPr>
            <w:tcW w:w="4395" w:type="dxa"/>
            <w:vAlign w:val="center"/>
          </w:tcPr>
          <w:p w14:paraId="6B3CB252" w14:textId="77777777" w:rsidR="00B90441" w:rsidRPr="00DB7576" w:rsidRDefault="00B90441" w:rsidP="005245DD">
            <w:pPr>
              <w:spacing w:line="276" w:lineRule="auto"/>
              <w:rPr>
                <w:rFonts w:cstheme="minorHAnsi"/>
              </w:rPr>
            </w:pPr>
          </w:p>
        </w:tc>
      </w:tr>
      <w:tr w:rsidR="00B90441" w:rsidRPr="00DB7576" w14:paraId="61143234" w14:textId="77777777" w:rsidTr="00B90441">
        <w:trPr>
          <w:trHeight w:val="1792"/>
        </w:trPr>
        <w:tc>
          <w:tcPr>
            <w:tcW w:w="704" w:type="dxa"/>
            <w:vAlign w:val="center"/>
          </w:tcPr>
          <w:p w14:paraId="030277C4" w14:textId="77777777" w:rsidR="00B90441" w:rsidRPr="00DB7576" w:rsidRDefault="00B90441" w:rsidP="005245DD">
            <w:pPr>
              <w:spacing w:line="276" w:lineRule="auto"/>
              <w:rPr>
                <w:rFonts w:cstheme="minorHAnsi"/>
              </w:rPr>
            </w:pPr>
            <w:r w:rsidRPr="00DB7576">
              <w:rPr>
                <w:rFonts w:cstheme="minorHAnsi"/>
              </w:rPr>
              <w:t>2b</w:t>
            </w:r>
          </w:p>
        </w:tc>
        <w:tc>
          <w:tcPr>
            <w:tcW w:w="3827" w:type="dxa"/>
            <w:vAlign w:val="center"/>
          </w:tcPr>
          <w:p w14:paraId="10B95DA4" w14:textId="77777777" w:rsidR="00B90441" w:rsidRPr="00DB7576" w:rsidRDefault="00B90441" w:rsidP="005245DD">
            <w:pPr>
              <w:spacing w:line="276" w:lineRule="auto"/>
              <w:rPr>
                <w:rFonts w:cstheme="minorHAnsi"/>
              </w:rPr>
            </w:pPr>
            <w:r w:rsidRPr="00DB7576">
              <w:rPr>
                <w:rStyle w:val="normaltextrun"/>
                <w:rFonts w:cstheme="minorHAnsi"/>
                <w:b/>
                <w:bCs/>
                <w:color w:val="000000"/>
              </w:rPr>
              <w:t>Question 2b:</w:t>
            </w:r>
            <w:r w:rsidRPr="00DB7576">
              <w:rPr>
                <w:rStyle w:val="normaltextrun"/>
                <w:rFonts w:cstheme="minorHAnsi"/>
                <w:color w:val="000000"/>
              </w:rPr>
              <w:t xml:space="preserve"> If not, what specific alternate approach do you recommend? Please provide a clear and objective rationale for each alternate approach you recommend. </w:t>
            </w:r>
          </w:p>
        </w:tc>
        <w:tc>
          <w:tcPr>
            <w:tcW w:w="4395" w:type="dxa"/>
            <w:vAlign w:val="center"/>
          </w:tcPr>
          <w:p w14:paraId="324A2257" w14:textId="77777777" w:rsidR="00B90441" w:rsidRPr="00DB7576" w:rsidRDefault="00B90441" w:rsidP="005245DD">
            <w:pPr>
              <w:spacing w:line="276" w:lineRule="auto"/>
              <w:rPr>
                <w:rFonts w:cstheme="minorHAnsi"/>
              </w:rPr>
            </w:pPr>
          </w:p>
        </w:tc>
      </w:tr>
      <w:tr w:rsidR="00B90441" w:rsidRPr="00DB7576" w14:paraId="63CF1B51" w14:textId="77777777" w:rsidTr="005245DD">
        <w:trPr>
          <w:trHeight w:val="4670"/>
        </w:trPr>
        <w:tc>
          <w:tcPr>
            <w:tcW w:w="704" w:type="dxa"/>
            <w:vAlign w:val="center"/>
          </w:tcPr>
          <w:p w14:paraId="5ED6E37C" w14:textId="77777777" w:rsidR="00B90441" w:rsidRPr="00DB7576" w:rsidRDefault="00B90441" w:rsidP="005245DD">
            <w:pPr>
              <w:spacing w:line="276" w:lineRule="auto"/>
              <w:rPr>
                <w:rFonts w:cstheme="minorHAnsi"/>
              </w:rPr>
            </w:pPr>
            <w:r w:rsidRPr="00DB7576">
              <w:rPr>
                <w:rFonts w:cstheme="minorHAnsi"/>
              </w:rPr>
              <w:t>3a</w:t>
            </w:r>
          </w:p>
        </w:tc>
        <w:tc>
          <w:tcPr>
            <w:tcW w:w="3827" w:type="dxa"/>
            <w:vAlign w:val="center"/>
          </w:tcPr>
          <w:p w14:paraId="74E1E9C7" w14:textId="77777777" w:rsidR="00B90441" w:rsidRPr="00DB7576" w:rsidRDefault="00B90441" w:rsidP="005245DD">
            <w:pPr>
              <w:spacing w:after="240" w:line="276" w:lineRule="auto"/>
              <w:rPr>
                <w:rStyle w:val="normaltextrun"/>
                <w:rFonts w:cstheme="minorHAnsi"/>
                <w:color w:val="000000"/>
              </w:rPr>
            </w:pPr>
            <w:r w:rsidRPr="00DB7576">
              <w:rPr>
                <w:rStyle w:val="normaltextrun"/>
                <w:rFonts w:cstheme="minorHAnsi"/>
                <w:b/>
                <w:bCs/>
                <w:color w:val="000000"/>
              </w:rPr>
              <w:t>Summary:</w:t>
            </w:r>
            <w:r w:rsidRPr="00DB7576">
              <w:rPr>
                <w:rStyle w:val="normaltextrun"/>
                <w:rFonts w:cstheme="minorHAnsi"/>
                <w:color w:val="000000"/>
              </w:rPr>
              <w:t xml:space="preserve"> The DSB proposes to facilitate access to the UPI service and the UPI reference data library on a programmatic basis, via a web front end, and via a file download service, with records available in a machine-readable format. </w:t>
            </w:r>
          </w:p>
          <w:p w14:paraId="19D2806A" w14:textId="77777777" w:rsidR="00B90441" w:rsidRPr="00DB7576" w:rsidRDefault="00B90441" w:rsidP="005245DD">
            <w:pPr>
              <w:spacing w:line="276" w:lineRule="auto"/>
              <w:rPr>
                <w:rFonts w:cstheme="minorHAnsi"/>
              </w:rPr>
            </w:pPr>
            <w:r w:rsidRPr="00DB7576">
              <w:rPr>
                <w:rStyle w:val="normaltextrun"/>
                <w:rFonts w:cstheme="minorHAnsi"/>
                <w:b/>
                <w:bCs/>
                <w:color w:val="000000"/>
              </w:rPr>
              <w:t>Question 3a</w:t>
            </w:r>
            <w:r w:rsidRPr="00DB7576">
              <w:rPr>
                <w:rStyle w:val="normaltextrun"/>
                <w:rFonts w:cstheme="minorHAnsi"/>
                <w:color w:val="000000"/>
              </w:rPr>
              <w:t>: Do you concur with the proposal presented in the supporting information, which seeks to leverage the core approach utilized for the existing service, and which has been endorsed by industry through several rounds of consultation?</w:t>
            </w:r>
          </w:p>
        </w:tc>
        <w:tc>
          <w:tcPr>
            <w:tcW w:w="4395" w:type="dxa"/>
            <w:vAlign w:val="center"/>
          </w:tcPr>
          <w:p w14:paraId="3B952592" w14:textId="77777777" w:rsidR="00B90441" w:rsidRPr="00DB7576" w:rsidRDefault="00B90441" w:rsidP="005245DD">
            <w:pPr>
              <w:spacing w:line="276" w:lineRule="auto"/>
              <w:rPr>
                <w:rFonts w:cstheme="minorHAnsi"/>
              </w:rPr>
            </w:pPr>
          </w:p>
        </w:tc>
      </w:tr>
      <w:tr w:rsidR="00B90441" w:rsidRPr="00DB7576" w14:paraId="42E4BBD7" w14:textId="77777777" w:rsidTr="005245DD">
        <w:trPr>
          <w:trHeight w:val="1702"/>
        </w:trPr>
        <w:tc>
          <w:tcPr>
            <w:tcW w:w="704" w:type="dxa"/>
            <w:vAlign w:val="center"/>
          </w:tcPr>
          <w:p w14:paraId="1B57E4FE" w14:textId="77777777" w:rsidR="00B90441" w:rsidRPr="00DB7576" w:rsidRDefault="00B90441" w:rsidP="005245DD">
            <w:pPr>
              <w:spacing w:line="276" w:lineRule="auto"/>
              <w:rPr>
                <w:rFonts w:cstheme="minorHAnsi"/>
              </w:rPr>
            </w:pPr>
            <w:r w:rsidRPr="00DB7576">
              <w:rPr>
                <w:rFonts w:cstheme="minorHAnsi"/>
              </w:rPr>
              <w:lastRenderedPageBreak/>
              <w:t>3b</w:t>
            </w:r>
          </w:p>
        </w:tc>
        <w:tc>
          <w:tcPr>
            <w:tcW w:w="3827" w:type="dxa"/>
            <w:vAlign w:val="center"/>
          </w:tcPr>
          <w:p w14:paraId="15F8B3B3" w14:textId="77777777" w:rsidR="00B90441" w:rsidRPr="00DB7576" w:rsidRDefault="00B90441" w:rsidP="005245DD">
            <w:pPr>
              <w:spacing w:line="276" w:lineRule="auto"/>
              <w:rPr>
                <w:rFonts w:cstheme="minorHAnsi"/>
              </w:rPr>
            </w:pPr>
            <w:r w:rsidRPr="00DB7576">
              <w:rPr>
                <w:rStyle w:val="normaltextrun"/>
                <w:rFonts w:cstheme="minorHAnsi"/>
                <w:b/>
                <w:bCs/>
                <w:color w:val="000000"/>
              </w:rPr>
              <w:t>Question 3b:</w:t>
            </w:r>
            <w:r w:rsidRPr="00DB7576">
              <w:rPr>
                <w:rStyle w:val="normaltextrun"/>
                <w:rFonts w:cstheme="minorHAnsi"/>
                <w:color w:val="000000"/>
              </w:rPr>
              <w:t xml:space="preserve"> If not, what specific alternate approach do you recommend? Please provide a clear and objective rationale for each alternate approach you recommend.</w:t>
            </w:r>
          </w:p>
        </w:tc>
        <w:tc>
          <w:tcPr>
            <w:tcW w:w="4395" w:type="dxa"/>
            <w:vAlign w:val="center"/>
          </w:tcPr>
          <w:p w14:paraId="0112A230" w14:textId="77777777" w:rsidR="00B90441" w:rsidRPr="00DB7576" w:rsidRDefault="00B90441" w:rsidP="005245DD">
            <w:pPr>
              <w:spacing w:line="276" w:lineRule="auto"/>
              <w:rPr>
                <w:rFonts w:cstheme="minorHAnsi"/>
              </w:rPr>
            </w:pPr>
          </w:p>
        </w:tc>
      </w:tr>
      <w:tr w:rsidR="00B90441" w:rsidRPr="00DB7576" w14:paraId="5EDC4F82" w14:textId="77777777" w:rsidTr="005245DD">
        <w:tc>
          <w:tcPr>
            <w:tcW w:w="704" w:type="dxa"/>
            <w:vAlign w:val="center"/>
          </w:tcPr>
          <w:p w14:paraId="5C070DFB" w14:textId="77777777" w:rsidR="00B90441" w:rsidRPr="00DB7576" w:rsidRDefault="00B90441" w:rsidP="005245DD">
            <w:pPr>
              <w:spacing w:line="276" w:lineRule="auto"/>
              <w:rPr>
                <w:rFonts w:cstheme="minorHAnsi"/>
              </w:rPr>
            </w:pPr>
            <w:r w:rsidRPr="00DB7576">
              <w:rPr>
                <w:rFonts w:cstheme="minorHAnsi"/>
              </w:rPr>
              <w:t>4</w:t>
            </w:r>
          </w:p>
        </w:tc>
        <w:tc>
          <w:tcPr>
            <w:tcW w:w="3827" w:type="dxa"/>
            <w:vAlign w:val="center"/>
          </w:tcPr>
          <w:p w14:paraId="15B04A8D" w14:textId="77777777" w:rsidR="00B90441" w:rsidRPr="00DB7576" w:rsidRDefault="00B90441" w:rsidP="005245DD">
            <w:pPr>
              <w:spacing w:before="240" w:line="276" w:lineRule="auto"/>
              <w:rPr>
                <w:rStyle w:val="normaltextrun"/>
                <w:rFonts w:cstheme="minorHAnsi"/>
                <w:color w:val="000000"/>
              </w:rPr>
            </w:pPr>
            <w:r w:rsidRPr="00DB7576">
              <w:rPr>
                <w:rStyle w:val="normaltextrun"/>
                <w:rFonts w:cstheme="minorHAnsi"/>
                <w:b/>
                <w:bCs/>
                <w:color w:val="000000"/>
              </w:rPr>
              <w:t xml:space="preserve">Summary: </w:t>
            </w:r>
            <w:r w:rsidRPr="00DB7576">
              <w:rPr>
                <w:rStyle w:val="normaltextrun"/>
                <w:rFonts w:cstheme="minorHAnsi"/>
                <w:color w:val="000000"/>
              </w:rPr>
              <w:t>Given the lower anticipated UPI volumes (compared to the existing OTC ISIN service), the DSB foresees a risk that a larger proportion of the UPI user base (compared to the OTC ISIN service) may rely exclusively on the DSB’s free service, which includes the daily generated machine-readable download files. In this circumstance, the cost for each fee-paying user would be higher than otherwise.</w:t>
            </w:r>
          </w:p>
          <w:p w14:paraId="2728BA12" w14:textId="77777777" w:rsidR="00B90441" w:rsidRPr="00DB7576" w:rsidRDefault="00B90441" w:rsidP="005245DD">
            <w:pPr>
              <w:spacing w:line="276" w:lineRule="auto"/>
              <w:rPr>
                <w:rStyle w:val="normaltextrun"/>
                <w:rFonts w:cstheme="minorHAnsi"/>
                <w:color w:val="000000"/>
              </w:rPr>
            </w:pPr>
            <w:proofErr w:type="gramStart"/>
            <w:r w:rsidRPr="00DB7576">
              <w:rPr>
                <w:rStyle w:val="normaltextrun"/>
                <w:rFonts w:cstheme="minorHAnsi"/>
                <w:color w:val="000000"/>
              </w:rPr>
              <w:t>In order to</w:t>
            </w:r>
            <w:proofErr w:type="gramEnd"/>
            <w:r w:rsidRPr="00DB7576">
              <w:rPr>
                <w:rStyle w:val="normaltextrun"/>
                <w:rFonts w:cstheme="minorHAnsi"/>
                <w:color w:val="000000"/>
              </w:rPr>
              <w:t xml:space="preserve"> mitigate this risk, the DSB proposes to provide access to the daily data files with a two-day time-delay. </w:t>
            </w:r>
          </w:p>
          <w:p w14:paraId="60771CE1" w14:textId="77777777" w:rsidR="00B90441" w:rsidRPr="00DB7576" w:rsidRDefault="00B90441" w:rsidP="005245DD">
            <w:pPr>
              <w:spacing w:line="276" w:lineRule="auto"/>
              <w:rPr>
                <w:rStyle w:val="normaltextrun"/>
                <w:rFonts w:cstheme="minorHAnsi"/>
                <w:color w:val="000000"/>
              </w:rPr>
            </w:pPr>
          </w:p>
          <w:p w14:paraId="549BC37F" w14:textId="77777777" w:rsidR="00B90441" w:rsidRPr="00DB7576" w:rsidRDefault="00B90441" w:rsidP="005245DD">
            <w:pPr>
              <w:spacing w:line="276" w:lineRule="auto"/>
              <w:rPr>
                <w:rStyle w:val="normaltextrun"/>
                <w:rFonts w:cstheme="minorHAnsi"/>
                <w:bCs/>
                <w:color w:val="000000"/>
              </w:rPr>
            </w:pPr>
            <w:r w:rsidRPr="00DB7576">
              <w:rPr>
                <w:rStyle w:val="normaltextrun"/>
                <w:rFonts w:cstheme="minorHAnsi"/>
                <w:b/>
                <w:bCs/>
                <w:color w:val="000000"/>
              </w:rPr>
              <w:t xml:space="preserve">Question 4: </w:t>
            </w:r>
            <w:r w:rsidRPr="00DB7576">
              <w:rPr>
                <w:rStyle w:val="normaltextrun"/>
                <w:rFonts w:cstheme="minorHAnsi"/>
                <w:bCs/>
                <w:iCs/>
                <w:color w:val="000000"/>
              </w:rPr>
              <w:t xml:space="preserve">Do you agree that the DSB should provide access to the UPI end of day data files with a two-day time-delay </w:t>
            </w:r>
            <w:proofErr w:type="gramStart"/>
            <w:r w:rsidRPr="00DB7576">
              <w:rPr>
                <w:rStyle w:val="normaltextrun"/>
                <w:rFonts w:cstheme="minorHAnsi"/>
                <w:bCs/>
                <w:iCs/>
                <w:color w:val="000000"/>
              </w:rPr>
              <w:t>in order to</w:t>
            </w:r>
            <w:proofErr w:type="gramEnd"/>
            <w:r w:rsidRPr="00DB7576">
              <w:rPr>
                <w:rStyle w:val="normaltextrun"/>
                <w:rFonts w:cstheme="minorHAnsi"/>
                <w:bCs/>
                <w:iCs/>
                <w:color w:val="000000"/>
              </w:rPr>
              <w:t xml:space="preserve"> ensure a fair distribution of cost across users?</w:t>
            </w:r>
            <w:r w:rsidRPr="00DB7576">
              <w:rPr>
                <w:rStyle w:val="normaltextrun"/>
                <w:rFonts w:cstheme="minorHAnsi"/>
                <w:b/>
                <w:bCs/>
                <w:color w:val="000000"/>
              </w:rPr>
              <w:t xml:space="preserve"> </w:t>
            </w:r>
          </w:p>
          <w:p w14:paraId="76A7BE38" w14:textId="77777777" w:rsidR="00B90441" w:rsidRPr="00DB7576" w:rsidRDefault="00B90441" w:rsidP="005245DD">
            <w:pPr>
              <w:spacing w:line="276" w:lineRule="auto"/>
              <w:rPr>
                <w:rFonts w:cstheme="minorHAnsi"/>
              </w:rPr>
            </w:pPr>
          </w:p>
        </w:tc>
        <w:tc>
          <w:tcPr>
            <w:tcW w:w="4395" w:type="dxa"/>
            <w:vAlign w:val="center"/>
          </w:tcPr>
          <w:p w14:paraId="1C395771" w14:textId="77777777" w:rsidR="00B90441" w:rsidRPr="00DB7576" w:rsidRDefault="00B90441" w:rsidP="005245DD">
            <w:pPr>
              <w:spacing w:line="276" w:lineRule="auto"/>
              <w:rPr>
                <w:rFonts w:cstheme="minorHAnsi"/>
              </w:rPr>
            </w:pPr>
          </w:p>
        </w:tc>
      </w:tr>
      <w:tr w:rsidR="00B90441" w:rsidRPr="00DB7576" w14:paraId="79BE361F" w14:textId="77777777" w:rsidTr="005245DD">
        <w:trPr>
          <w:trHeight w:val="1837"/>
        </w:trPr>
        <w:tc>
          <w:tcPr>
            <w:tcW w:w="704" w:type="dxa"/>
            <w:vAlign w:val="center"/>
          </w:tcPr>
          <w:p w14:paraId="44E316AD" w14:textId="77777777" w:rsidR="00B90441" w:rsidRPr="00DB7576" w:rsidRDefault="00B90441" w:rsidP="005245DD">
            <w:pPr>
              <w:spacing w:line="276" w:lineRule="auto"/>
              <w:rPr>
                <w:rFonts w:cstheme="minorHAnsi"/>
              </w:rPr>
            </w:pPr>
            <w:r w:rsidRPr="00DB7576">
              <w:rPr>
                <w:rFonts w:cstheme="minorHAnsi"/>
              </w:rPr>
              <w:t>5</w:t>
            </w:r>
          </w:p>
        </w:tc>
        <w:tc>
          <w:tcPr>
            <w:tcW w:w="3827" w:type="dxa"/>
            <w:vAlign w:val="center"/>
          </w:tcPr>
          <w:p w14:paraId="56E9CCA1" w14:textId="77777777" w:rsidR="00B90441" w:rsidRPr="00DB7576" w:rsidRDefault="00B90441" w:rsidP="005245DD">
            <w:pPr>
              <w:spacing w:before="240" w:line="276" w:lineRule="auto"/>
              <w:rPr>
                <w:rStyle w:val="normaltextrun"/>
                <w:rFonts w:cstheme="minorHAnsi"/>
                <w:color w:val="000000"/>
              </w:rPr>
            </w:pPr>
            <w:r w:rsidRPr="00DB7576">
              <w:rPr>
                <w:rStyle w:val="normaltextrun"/>
                <w:rFonts w:cstheme="minorHAnsi"/>
                <w:bCs/>
                <w:color w:val="000000"/>
              </w:rPr>
              <w:t xml:space="preserve"> </w:t>
            </w:r>
            <w:r w:rsidRPr="00DB7576">
              <w:rPr>
                <w:rStyle w:val="normaltextrun"/>
                <w:rFonts w:cstheme="minorHAnsi"/>
                <w:b/>
                <w:bCs/>
                <w:color w:val="000000"/>
              </w:rPr>
              <w:t xml:space="preserve">Summary: </w:t>
            </w:r>
            <w:proofErr w:type="gramStart"/>
            <w:r w:rsidRPr="00DB7576">
              <w:rPr>
                <w:rStyle w:val="normaltextrun"/>
                <w:rFonts w:cstheme="minorHAnsi"/>
                <w:color w:val="000000"/>
              </w:rPr>
              <w:t>In order to</w:t>
            </w:r>
            <w:proofErr w:type="gramEnd"/>
            <w:r w:rsidRPr="00DB7576">
              <w:rPr>
                <w:rStyle w:val="normaltextrun"/>
                <w:rFonts w:cstheme="minorHAnsi"/>
                <w:color w:val="000000"/>
              </w:rPr>
              <w:t xml:space="preserve"> keep the UPI build and operating costs low for both industry and the DSB, the DSB will re-use its existing staff, systems and processes wherever appropriate. This re-use will result in shared costs between the DSB’s existing services and UPI services and therefore the DSB requires a policy for allocating such shared costs fairly across the services. The policy will be the subject of controls that will be validated through the DSB’s third-party assurance programme.</w:t>
            </w:r>
          </w:p>
          <w:p w14:paraId="625C17E6" w14:textId="77777777" w:rsidR="00B90441" w:rsidRPr="00DB7576" w:rsidRDefault="00B90441" w:rsidP="005245DD">
            <w:pPr>
              <w:spacing w:line="276" w:lineRule="auto"/>
              <w:rPr>
                <w:rStyle w:val="normaltextrun"/>
                <w:rFonts w:cstheme="minorHAnsi"/>
                <w:color w:val="000000"/>
              </w:rPr>
            </w:pPr>
            <w:r w:rsidRPr="00DB7576">
              <w:rPr>
                <w:rStyle w:val="normaltextrun"/>
                <w:rFonts w:cstheme="minorHAnsi"/>
                <w:color w:val="000000"/>
              </w:rPr>
              <w:t xml:space="preserve">Given the start-up nature of the UPI service, the DSB is mindful that a large initial allocation of overheads against </w:t>
            </w:r>
            <w:r w:rsidRPr="00DB7576">
              <w:rPr>
                <w:rStyle w:val="normaltextrun"/>
                <w:rFonts w:cstheme="minorHAnsi"/>
                <w:color w:val="000000"/>
              </w:rPr>
              <w:lastRenderedPageBreak/>
              <w:t>the UPI service may place a large cost onto a small number of users in the initial jurisdictions that go live with the UPI. Therefore, the DSB is proposing a phased approach with the allocation of shared costs against the UPI service rising incrementally in the first few years.</w:t>
            </w:r>
          </w:p>
          <w:p w14:paraId="020DC37A" w14:textId="77777777" w:rsidR="00B90441" w:rsidRPr="00DB7576" w:rsidRDefault="00B90441" w:rsidP="005245DD">
            <w:pPr>
              <w:pStyle w:val="NormalWeb"/>
              <w:shd w:val="clear" w:color="auto" w:fill="FFFFFF" w:themeFill="background1"/>
              <w:spacing w:before="0" w:beforeAutospacing="0" w:after="120" w:afterAutospacing="0" w:line="276" w:lineRule="auto"/>
              <w:textAlignment w:val="baseline"/>
              <w:rPr>
                <w:rFonts w:asciiTheme="minorHAnsi" w:hAnsiTheme="minorHAnsi" w:cstheme="minorHAnsi"/>
                <w:bCs/>
                <w:sz w:val="22"/>
                <w:szCs w:val="22"/>
              </w:rPr>
            </w:pPr>
            <w:r w:rsidRPr="00DB7576">
              <w:rPr>
                <w:rFonts w:asciiTheme="minorHAnsi" w:hAnsiTheme="minorHAnsi" w:cstheme="minorHAnsi"/>
                <w:bCs/>
                <w:sz w:val="22"/>
                <w:szCs w:val="22"/>
              </w:rPr>
              <w:t>Specifically, the DSB proposes that:</w:t>
            </w:r>
          </w:p>
          <w:p w14:paraId="6510C887" w14:textId="77777777" w:rsidR="00B90441" w:rsidRPr="00DB7576" w:rsidRDefault="00B90441" w:rsidP="00B90441">
            <w:pPr>
              <w:pStyle w:val="NormalWeb"/>
              <w:numPr>
                <w:ilvl w:val="0"/>
                <w:numId w:val="3"/>
              </w:numPr>
              <w:shd w:val="clear" w:color="auto" w:fill="FFFFFF" w:themeFill="background1"/>
              <w:spacing w:before="0" w:beforeAutospacing="0" w:after="120" w:afterAutospacing="0" w:line="276" w:lineRule="auto"/>
              <w:textAlignment w:val="baseline"/>
              <w:rPr>
                <w:rFonts w:asciiTheme="minorHAnsi" w:hAnsiTheme="minorHAnsi" w:cstheme="minorHAnsi"/>
                <w:bCs/>
                <w:sz w:val="22"/>
                <w:szCs w:val="22"/>
              </w:rPr>
            </w:pPr>
            <w:r w:rsidRPr="00DB7576">
              <w:rPr>
                <w:rFonts w:asciiTheme="minorHAnsi" w:hAnsiTheme="minorHAnsi" w:cstheme="minorHAnsi"/>
                <w:bCs/>
                <w:sz w:val="22"/>
                <w:szCs w:val="22"/>
              </w:rPr>
              <w:t xml:space="preserve">The initial UPI build costs be </w:t>
            </w:r>
            <w:proofErr w:type="spellStart"/>
            <w:r w:rsidRPr="00DB7576">
              <w:rPr>
                <w:rFonts w:asciiTheme="minorHAnsi" w:hAnsiTheme="minorHAnsi" w:cstheme="minorHAnsi"/>
                <w:bCs/>
                <w:sz w:val="22"/>
                <w:szCs w:val="22"/>
              </w:rPr>
              <w:t>amortised</w:t>
            </w:r>
            <w:proofErr w:type="spellEnd"/>
            <w:r w:rsidRPr="00DB7576" w:rsidDel="005E7F9A">
              <w:rPr>
                <w:rFonts w:asciiTheme="minorHAnsi" w:hAnsiTheme="minorHAnsi" w:cstheme="minorHAnsi"/>
                <w:bCs/>
                <w:sz w:val="22"/>
                <w:szCs w:val="22"/>
              </w:rPr>
              <w:t xml:space="preserve"> </w:t>
            </w:r>
            <w:r w:rsidRPr="00DB7576">
              <w:rPr>
                <w:rFonts w:asciiTheme="minorHAnsi" w:hAnsiTheme="minorHAnsi" w:cstheme="minorHAnsi"/>
                <w:bCs/>
                <w:sz w:val="22"/>
                <w:szCs w:val="22"/>
              </w:rPr>
              <w:t xml:space="preserve">as per existing DSB policy (as consulted in section </w:t>
            </w:r>
            <w:r w:rsidRPr="00DB7576">
              <w:rPr>
                <w:rFonts w:asciiTheme="minorHAnsi" w:hAnsiTheme="minorHAnsi" w:cstheme="minorHAnsi"/>
                <w:bCs/>
                <w:sz w:val="22"/>
                <w:szCs w:val="22"/>
              </w:rPr>
              <w:fldChar w:fldCharType="begin"/>
            </w:r>
            <w:r w:rsidRPr="00DB7576">
              <w:rPr>
                <w:rFonts w:asciiTheme="minorHAnsi" w:hAnsiTheme="minorHAnsi" w:cstheme="minorHAnsi"/>
                <w:bCs/>
                <w:sz w:val="22"/>
                <w:szCs w:val="22"/>
              </w:rPr>
              <w:instrText xml:space="preserve"> REF _Ref57553191 \r \h  \* MERGEFORMAT </w:instrText>
            </w:r>
            <w:r w:rsidRPr="00DB7576">
              <w:rPr>
                <w:rFonts w:asciiTheme="minorHAnsi" w:hAnsiTheme="minorHAnsi" w:cstheme="minorHAnsi"/>
                <w:bCs/>
                <w:sz w:val="22"/>
                <w:szCs w:val="22"/>
              </w:rPr>
            </w:r>
            <w:r w:rsidRPr="00DB7576">
              <w:rPr>
                <w:rFonts w:asciiTheme="minorHAnsi" w:hAnsiTheme="minorHAnsi" w:cstheme="minorHAnsi"/>
                <w:bCs/>
                <w:sz w:val="22"/>
                <w:szCs w:val="22"/>
              </w:rPr>
              <w:fldChar w:fldCharType="separate"/>
            </w:r>
            <w:r w:rsidRPr="00DB7576">
              <w:rPr>
                <w:rFonts w:asciiTheme="minorHAnsi" w:hAnsiTheme="minorHAnsi" w:cstheme="minorHAnsi"/>
                <w:bCs/>
                <w:sz w:val="22"/>
                <w:szCs w:val="22"/>
              </w:rPr>
              <w:t>5.8</w:t>
            </w:r>
            <w:r w:rsidRPr="00DB7576">
              <w:rPr>
                <w:rFonts w:asciiTheme="minorHAnsi" w:hAnsiTheme="minorHAnsi" w:cstheme="minorHAnsi"/>
                <w:bCs/>
                <w:sz w:val="22"/>
                <w:szCs w:val="22"/>
              </w:rPr>
              <w:fldChar w:fldCharType="end"/>
            </w:r>
            <w:r w:rsidRPr="00DB7576">
              <w:rPr>
                <w:rFonts w:asciiTheme="minorHAnsi" w:hAnsiTheme="minorHAnsi" w:cstheme="minorHAnsi"/>
                <w:bCs/>
                <w:sz w:val="22"/>
                <w:szCs w:val="22"/>
              </w:rPr>
              <w:t xml:space="preserve"> / </w:t>
            </w:r>
            <w:r w:rsidRPr="00DB7576">
              <w:rPr>
                <w:rFonts w:asciiTheme="minorHAnsi" w:hAnsiTheme="minorHAnsi" w:cstheme="minorHAnsi"/>
                <w:bCs/>
                <w:i/>
                <w:iCs/>
                <w:sz w:val="22"/>
                <w:szCs w:val="22"/>
              </w:rPr>
              <w:fldChar w:fldCharType="begin"/>
            </w:r>
            <w:r w:rsidRPr="00DB7576">
              <w:rPr>
                <w:rFonts w:asciiTheme="minorHAnsi" w:hAnsiTheme="minorHAnsi" w:cstheme="minorHAnsi"/>
                <w:bCs/>
                <w:i/>
                <w:iCs/>
                <w:sz w:val="22"/>
                <w:szCs w:val="22"/>
              </w:rPr>
              <w:instrText xml:space="preserve"> REF _Ref57553191 \r \h  \* MERGEFORMAT </w:instrText>
            </w:r>
            <w:r w:rsidRPr="00DB7576">
              <w:rPr>
                <w:rFonts w:asciiTheme="minorHAnsi" w:hAnsiTheme="minorHAnsi" w:cstheme="minorHAnsi"/>
                <w:bCs/>
                <w:i/>
                <w:iCs/>
                <w:sz w:val="22"/>
                <w:szCs w:val="22"/>
              </w:rPr>
            </w:r>
            <w:r w:rsidRPr="00DB7576">
              <w:rPr>
                <w:rFonts w:asciiTheme="minorHAnsi" w:hAnsiTheme="minorHAnsi" w:cstheme="minorHAnsi"/>
                <w:bCs/>
                <w:i/>
                <w:iCs/>
                <w:sz w:val="22"/>
                <w:szCs w:val="22"/>
              </w:rPr>
              <w:fldChar w:fldCharType="separate"/>
            </w:r>
            <w:r w:rsidRPr="00DB7576">
              <w:rPr>
                <w:rFonts w:asciiTheme="minorHAnsi" w:hAnsiTheme="minorHAnsi" w:cstheme="minorHAnsi"/>
                <w:bCs/>
                <w:i/>
                <w:iCs/>
                <w:sz w:val="22"/>
                <w:szCs w:val="22"/>
              </w:rPr>
              <w:t>Q8</w:t>
            </w:r>
            <w:r w:rsidRPr="00DB7576">
              <w:rPr>
                <w:rFonts w:asciiTheme="minorHAnsi" w:hAnsiTheme="minorHAnsi" w:cstheme="minorHAnsi"/>
                <w:bCs/>
                <w:i/>
                <w:iCs/>
                <w:sz w:val="22"/>
                <w:szCs w:val="22"/>
              </w:rPr>
              <w:fldChar w:fldCharType="end"/>
            </w:r>
            <w:r w:rsidRPr="00DB7576">
              <w:rPr>
                <w:rFonts w:asciiTheme="minorHAnsi" w:hAnsiTheme="minorHAnsi" w:cstheme="minorHAnsi"/>
                <w:bCs/>
                <w:i/>
                <w:iCs/>
                <w:sz w:val="22"/>
                <w:szCs w:val="22"/>
              </w:rPr>
              <w:t xml:space="preserve"> Capital Expenditure </w:t>
            </w:r>
            <w:proofErr w:type="spellStart"/>
            <w:r w:rsidRPr="00DB7576">
              <w:rPr>
                <w:rFonts w:asciiTheme="minorHAnsi" w:hAnsiTheme="minorHAnsi" w:cstheme="minorHAnsi"/>
                <w:bCs/>
                <w:i/>
                <w:iCs/>
                <w:sz w:val="22"/>
                <w:szCs w:val="22"/>
              </w:rPr>
              <w:t>Amortisation</w:t>
            </w:r>
            <w:proofErr w:type="spellEnd"/>
            <w:r w:rsidRPr="00DB7576">
              <w:rPr>
                <w:rFonts w:asciiTheme="minorHAnsi" w:hAnsiTheme="minorHAnsi" w:cstheme="minorHAnsi"/>
                <w:bCs/>
                <w:i/>
                <w:iCs/>
                <w:sz w:val="22"/>
                <w:szCs w:val="22"/>
              </w:rPr>
              <w:t xml:space="preserve"> Approach</w:t>
            </w:r>
            <w:r w:rsidRPr="00DB7576">
              <w:rPr>
                <w:rFonts w:asciiTheme="minorHAnsi" w:hAnsiTheme="minorHAnsi" w:cstheme="minorHAnsi"/>
                <w:bCs/>
                <w:sz w:val="22"/>
                <w:szCs w:val="22"/>
              </w:rPr>
              <w:t xml:space="preserve">), with the first year of </w:t>
            </w:r>
            <w:proofErr w:type="spellStart"/>
            <w:r w:rsidRPr="00DB7576">
              <w:rPr>
                <w:rFonts w:asciiTheme="minorHAnsi" w:hAnsiTheme="minorHAnsi" w:cstheme="minorHAnsi"/>
                <w:bCs/>
                <w:sz w:val="22"/>
                <w:szCs w:val="22"/>
              </w:rPr>
              <w:t>amortisation</w:t>
            </w:r>
            <w:proofErr w:type="spellEnd"/>
            <w:r w:rsidRPr="00DB7576">
              <w:rPr>
                <w:rFonts w:asciiTheme="minorHAnsi" w:hAnsiTheme="minorHAnsi" w:cstheme="minorHAnsi"/>
                <w:bCs/>
                <w:sz w:val="22"/>
                <w:szCs w:val="22"/>
              </w:rPr>
              <w:t xml:space="preserve"> being 2023. This means 2022 UPI users will not contribute towards the </w:t>
            </w:r>
            <w:proofErr w:type="spellStart"/>
            <w:r w:rsidRPr="00DB7576">
              <w:rPr>
                <w:rFonts w:asciiTheme="minorHAnsi" w:hAnsiTheme="minorHAnsi" w:cstheme="minorHAnsi"/>
                <w:bCs/>
                <w:sz w:val="22"/>
                <w:szCs w:val="22"/>
              </w:rPr>
              <w:t>amortisation</w:t>
            </w:r>
            <w:proofErr w:type="spellEnd"/>
            <w:r w:rsidRPr="00DB7576">
              <w:rPr>
                <w:rFonts w:asciiTheme="minorHAnsi" w:hAnsiTheme="minorHAnsi" w:cstheme="minorHAnsi"/>
                <w:bCs/>
                <w:sz w:val="22"/>
                <w:szCs w:val="22"/>
              </w:rPr>
              <w:t xml:space="preserve"> costs, given the smaller anticipated number of UPI users in 2022 vs 2023</w:t>
            </w:r>
          </w:p>
          <w:p w14:paraId="4FE9DF80" w14:textId="77777777" w:rsidR="00B90441" w:rsidRPr="00DB7576" w:rsidRDefault="00B90441" w:rsidP="00B90441">
            <w:pPr>
              <w:pStyle w:val="NormalWeb"/>
              <w:numPr>
                <w:ilvl w:val="0"/>
                <w:numId w:val="3"/>
              </w:numPr>
              <w:shd w:val="clear" w:color="auto" w:fill="FFFFFF" w:themeFill="background1"/>
              <w:spacing w:before="0" w:beforeAutospacing="0" w:after="120" w:afterAutospacing="0" w:line="276" w:lineRule="auto"/>
              <w:textAlignment w:val="baseline"/>
              <w:rPr>
                <w:rFonts w:asciiTheme="minorHAnsi" w:hAnsiTheme="minorHAnsi" w:cstheme="minorHAnsi"/>
                <w:sz w:val="22"/>
                <w:szCs w:val="22"/>
              </w:rPr>
            </w:pPr>
            <w:r w:rsidRPr="00DB7576">
              <w:rPr>
                <w:rFonts w:asciiTheme="minorHAnsi" w:hAnsiTheme="minorHAnsi" w:cstheme="minorHAnsi"/>
                <w:bCs/>
                <w:sz w:val="22"/>
                <w:szCs w:val="22"/>
              </w:rPr>
              <w:t>100% of the synergies available by leveraging the existing DSB platform to be allocated to UPI users in 2022 and 2023, after which the available synergies to be shared between both OTC ISIN users and UPI users via an allocation policy that the DSB will propose and consult with stakeholders</w:t>
            </w:r>
            <w:r w:rsidRPr="00DB7576" w:rsidDel="00586DE6">
              <w:rPr>
                <w:rFonts w:asciiTheme="minorHAnsi" w:hAnsiTheme="minorHAnsi" w:cstheme="minorHAnsi"/>
                <w:bCs/>
                <w:sz w:val="22"/>
                <w:szCs w:val="22"/>
              </w:rPr>
              <w:t xml:space="preserve"> </w:t>
            </w:r>
            <w:r w:rsidRPr="00DB7576">
              <w:rPr>
                <w:rFonts w:asciiTheme="minorHAnsi" w:hAnsiTheme="minorHAnsi" w:cstheme="minorHAnsi"/>
                <w:bCs/>
                <w:sz w:val="22"/>
                <w:szCs w:val="22"/>
              </w:rPr>
              <w:t>in 2023</w:t>
            </w:r>
          </w:p>
          <w:p w14:paraId="5A301707" w14:textId="77777777" w:rsidR="00B90441" w:rsidRPr="00DB7576" w:rsidRDefault="00B90441" w:rsidP="005245DD">
            <w:pPr>
              <w:spacing w:line="276" w:lineRule="auto"/>
              <w:rPr>
                <w:rFonts w:cstheme="minorHAnsi"/>
              </w:rPr>
            </w:pPr>
            <w:r w:rsidRPr="00DB7576">
              <w:rPr>
                <w:rStyle w:val="normaltextrun"/>
                <w:rFonts w:cstheme="minorHAnsi"/>
                <w:b/>
                <w:bCs/>
                <w:color w:val="000000"/>
              </w:rPr>
              <w:t xml:space="preserve">Question 5: </w:t>
            </w:r>
            <w:r w:rsidRPr="00DB7576">
              <w:rPr>
                <w:rStyle w:val="normaltextrun"/>
                <w:rFonts w:cstheme="minorHAnsi"/>
                <w:color w:val="000000"/>
              </w:rPr>
              <w:t>Do you agree with the DSB’s proposed cost allocation policy for the DSB’s costs?</w:t>
            </w:r>
          </w:p>
        </w:tc>
        <w:tc>
          <w:tcPr>
            <w:tcW w:w="4395" w:type="dxa"/>
            <w:vAlign w:val="center"/>
          </w:tcPr>
          <w:p w14:paraId="01F0461B" w14:textId="77777777" w:rsidR="00B90441" w:rsidRPr="00DB7576" w:rsidRDefault="00B90441" w:rsidP="005245DD">
            <w:pPr>
              <w:spacing w:line="276" w:lineRule="auto"/>
              <w:rPr>
                <w:rFonts w:cstheme="minorHAnsi"/>
              </w:rPr>
            </w:pPr>
          </w:p>
        </w:tc>
      </w:tr>
      <w:tr w:rsidR="00B90441" w:rsidRPr="00DB7576" w14:paraId="5A04F333" w14:textId="77777777" w:rsidTr="005245DD">
        <w:tc>
          <w:tcPr>
            <w:tcW w:w="704" w:type="dxa"/>
            <w:vAlign w:val="center"/>
          </w:tcPr>
          <w:p w14:paraId="112F4BF0" w14:textId="77777777" w:rsidR="00B90441" w:rsidRPr="00DB7576" w:rsidRDefault="00B90441" w:rsidP="005245DD">
            <w:pPr>
              <w:spacing w:line="276" w:lineRule="auto"/>
              <w:rPr>
                <w:rFonts w:cstheme="minorHAnsi"/>
              </w:rPr>
            </w:pPr>
            <w:r w:rsidRPr="00DB7576">
              <w:rPr>
                <w:rFonts w:cstheme="minorHAnsi"/>
              </w:rPr>
              <w:t>6</w:t>
            </w:r>
          </w:p>
        </w:tc>
        <w:tc>
          <w:tcPr>
            <w:tcW w:w="3827" w:type="dxa"/>
            <w:vAlign w:val="center"/>
          </w:tcPr>
          <w:p w14:paraId="5E80E65D" w14:textId="77777777" w:rsidR="00B90441" w:rsidRPr="00DB7576" w:rsidRDefault="00B90441" w:rsidP="005245DD">
            <w:pPr>
              <w:spacing w:before="240" w:line="276" w:lineRule="auto"/>
              <w:rPr>
                <w:rStyle w:val="normaltextrun"/>
                <w:rFonts w:cstheme="minorHAnsi"/>
                <w:color w:val="000000"/>
              </w:rPr>
            </w:pPr>
            <w:r w:rsidRPr="00DB7576">
              <w:rPr>
                <w:rStyle w:val="normaltextrun"/>
                <w:rFonts w:cstheme="minorHAnsi"/>
                <w:b/>
                <w:bCs/>
                <w:color w:val="000000"/>
              </w:rPr>
              <w:t>Summary:</w:t>
            </w:r>
            <w:r w:rsidRPr="00DB7576" w:rsidDel="0019300D">
              <w:rPr>
                <w:rStyle w:val="normaltextrun"/>
                <w:rFonts w:cstheme="minorHAnsi"/>
                <w:b/>
                <w:color w:val="000000"/>
              </w:rPr>
              <w:t xml:space="preserve"> </w:t>
            </w:r>
            <w:proofErr w:type="gramStart"/>
            <w:r w:rsidRPr="00DB7576">
              <w:rPr>
                <w:rStyle w:val="normaltextrun"/>
                <w:rFonts w:cstheme="minorHAnsi"/>
                <w:color w:val="000000"/>
              </w:rPr>
              <w:t>In order to</w:t>
            </w:r>
            <w:proofErr w:type="gramEnd"/>
            <w:r w:rsidRPr="00DB7576">
              <w:rPr>
                <w:rStyle w:val="normaltextrun"/>
                <w:rFonts w:cstheme="minorHAnsi"/>
                <w:color w:val="000000"/>
              </w:rPr>
              <w:t xml:space="preserve"> provide clarity on the commitments and responsibilities of UPI users and the DSB to each other, the DSB expects all UPI creators and API users to sign a common User Agreement. Based on feedback from the DSB’s existing user base, the DSB believes the most appropriate period </w:t>
            </w:r>
            <w:r w:rsidRPr="00DB7576">
              <w:rPr>
                <w:rStyle w:val="normaltextrun"/>
                <w:rFonts w:cstheme="minorHAnsi"/>
                <w:color w:val="000000"/>
              </w:rPr>
              <w:lastRenderedPageBreak/>
              <w:t xml:space="preserve">for the UPI User Agreement is the Gregorian calendar year. </w:t>
            </w:r>
          </w:p>
          <w:p w14:paraId="12127620" w14:textId="77777777" w:rsidR="00B90441" w:rsidRPr="00DB7576" w:rsidRDefault="00B90441" w:rsidP="005245DD">
            <w:pPr>
              <w:spacing w:line="276" w:lineRule="auto"/>
              <w:rPr>
                <w:rStyle w:val="normaltextrun"/>
                <w:rFonts w:cstheme="minorHAnsi"/>
                <w:color w:val="000000"/>
              </w:rPr>
            </w:pPr>
            <w:r w:rsidRPr="00DB7576">
              <w:rPr>
                <w:rStyle w:val="normaltextrun"/>
                <w:rFonts w:cstheme="minorHAnsi"/>
                <w:color w:val="000000"/>
              </w:rPr>
              <w:t xml:space="preserve">The DSB anticipates launching its production UPI service at the end of June 2022. Given the intra-year start to the service, the DSB proposes that the duration of the first User Agreement to be shorter than the standard 12 months in subsequent years, </w:t>
            </w:r>
            <w:proofErr w:type="gramStart"/>
            <w:r w:rsidRPr="00DB7576">
              <w:rPr>
                <w:rStyle w:val="normaltextrun"/>
                <w:rFonts w:cstheme="minorHAnsi"/>
                <w:color w:val="000000"/>
              </w:rPr>
              <w:t>in order to</w:t>
            </w:r>
            <w:proofErr w:type="gramEnd"/>
            <w:r w:rsidRPr="00DB7576">
              <w:rPr>
                <w:rStyle w:val="normaltextrun"/>
                <w:rFonts w:cstheme="minorHAnsi"/>
                <w:color w:val="000000"/>
              </w:rPr>
              <w:t xml:space="preserve"> align all subsequent User Agreements with the Gregorian calendar year. This will result in a proportional reduction in the initial fee to compensate for the shorter duration.</w:t>
            </w:r>
          </w:p>
          <w:p w14:paraId="694A5229" w14:textId="77777777" w:rsidR="00B90441" w:rsidRPr="00DB7576" w:rsidRDefault="00B90441" w:rsidP="005245DD">
            <w:pPr>
              <w:spacing w:line="276" w:lineRule="auto"/>
              <w:rPr>
                <w:rStyle w:val="normaltextrun"/>
                <w:rFonts w:cstheme="minorHAnsi"/>
                <w:color w:val="000000"/>
              </w:rPr>
            </w:pPr>
          </w:p>
          <w:p w14:paraId="633ED2FF" w14:textId="77777777" w:rsidR="00B90441" w:rsidRPr="00DB7576" w:rsidRDefault="00B90441" w:rsidP="005245DD">
            <w:pPr>
              <w:spacing w:line="276" w:lineRule="auto"/>
              <w:rPr>
                <w:rStyle w:val="normaltextrun"/>
                <w:rFonts w:cstheme="minorHAnsi"/>
                <w:bCs/>
                <w:color w:val="000000"/>
              </w:rPr>
            </w:pPr>
            <w:r w:rsidRPr="00DB7576">
              <w:rPr>
                <w:rStyle w:val="normaltextrun"/>
                <w:rFonts w:cstheme="minorHAnsi"/>
                <w:b/>
                <w:bCs/>
                <w:color w:val="000000"/>
              </w:rPr>
              <w:t>Question 6:</w:t>
            </w:r>
            <w:r w:rsidRPr="00DB7576" w:rsidDel="007A6ACA">
              <w:rPr>
                <w:rStyle w:val="normaltextrun"/>
                <w:rFonts w:cstheme="minorHAnsi"/>
                <w:b/>
                <w:color w:val="000000"/>
              </w:rPr>
              <w:t xml:space="preserve"> </w:t>
            </w:r>
            <w:r w:rsidRPr="00DB7576">
              <w:rPr>
                <w:rStyle w:val="normaltextrun"/>
                <w:rFonts w:cstheme="minorHAnsi"/>
                <w:bCs/>
                <w:color w:val="000000"/>
              </w:rPr>
              <w:t>Do you agree with the DSB’s proposal for a short duration User Agreement for UPI users in 2022 that ends on 31 December 2022, followed by annual contracts that cover a full Gregorian calendar year?</w:t>
            </w:r>
          </w:p>
          <w:p w14:paraId="7C31743F" w14:textId="77777777" w:rsidR="00B90441" w:rsidRPr="00DB7576" w:rsidRDefault="00B90441" w:rsidP="005245DD">
            <w:pPr>
              <w:spacing w:line="276" w:lineRule="auto"/>
              <w:rPr>
                <w:rFonts w:cstheme="minorHAnsi"/>
              </w:rPr>
            </w:pPr>
          </w:p>
        </w:tc>
        <w:tc>
          <w:tcPr>
            <w:tcW w:w="4395" w:type="dxa"/>
            <w:vAlign w:val="center"/>
          </w:tcPr>
          <w:p w14:paraId="10459F82" w14:textId="77777777" w:rsidR="00B90441" w:rsidRPr="00DB7576" w:rsidRDefault="00B90441" w:rsidP="005245DD">
            <w:pPr>
              <w:spacing w:line="276" w:lineRule="auto"/>
              <w:rPr>
                <w:rFonts w:cstheme="minorHAnsi"/>
              </w:rPr>
            </w:pPr>
          </w:p>
        </w:tc>
      </w:tr>
      <w:tr w:rsidR="00B90441" w:rsidRPr="00DB7576" w14:paraId="71EF7A74" w14:textId="77777777" w:rsidTr="005245DD">
        <w:tc>
          <w:tcPr>
            <w:tcW w:w="704" w:type="dxa"/>
            <w:vAlign w:val="center"/>
          </w:tcPr>
          <w:p w14:paraId="0AF2D57B" w14:textId="77777777" w:rsidR="00B90441" w:rsidRPr="00DB7576" w:rsidRDefault="00B90441" w:rsidP="005245DD">
            <w:pPr>
              <w:spacing w:line="276" w:lineRule="auto"/>
              <w:rPr>
                <w:rFonts w:cstheme="minorHAnsi"/>
              </w:rPr>
            </w:pPr>
            <w:r w:rsidRPr="00DB7576">
              <w:rPr>
                <w:rFonts w:cstheme="minorHAnsi"/>
              </w:rPr>
              <w:t>7</w:t>
            </w:r>
          </w:p>
        </w:tc>
        <w:tc>
          <w:tcPr>
            <w:tcW w:w="3827" w:type="dxa"/>
            <w:vAlign w:val="center"/>
          </w:tcPr>
          <w:p w14:paraId="20F47D04" w14:textId="77777777" w:rsidR="00B90441" w:rsidRPr="00DB7576" w:rsidRDefault="00B90441" w:rsidP="005245DD">
            <w:pPr>
              <w:spacing w:before="240" w:line="276" w:lineRule="auto"/>
              <w:rPr>
                <w:rStyle w:val="normaltextrun"/>
                <w:rFonts w:cstheme="minorHAnsi"/>
                <w:color w:val="000000"/>
              </w:rPr>
            </w:pPr>
            <w:r w:rsidRPr="00DB7576">
              <w:rPr>
                <w:rStyle w:val="normaltextrun"/>
                <w:rFonts w:cstheme="minorHAnsi"/>
                <w:b/>
                <w:bCs/>
                <w:color w:val="000000"/>
              </w:rPr>
              <w:t>Summary:</w:t>
            </w:r>
            <w:r w:rsidRPr="00DB7576" w:rsidDel="00570E91">
              <w:rPr>
                <w:rStyle w:val="normaltextrun"/>
                <w:rFonts w:cstheme="minorHAnsi"/>
                <w:b/>
                <w:color w:val="000000"/>
              </w:rPr>
              <w:t xml:space="preserve"> </w:t>
            </w:r>
            <w:proofErr w:type="gramStart"/>
            <w:r w:rsidRPr="00DB7576">
              <w:rPr>
                <w:rStyle w:val="normaltextrun"/>
                <w:rFonts w:cstheme="minorHAnsi"/>
                <w:color w:val="000000"/>
              </w:rPr>
              <w:t>In order to</w:t>
            </w:r>
            <w:proofErr w:type="gramEnd"/>
            <w:r w:rsidRPr="00DB7576">
              <w:rPr>
                <w:rStyle w:val="normaltextrun"/>
                <w:rFonts w:cstheme="minorHAnsi"/>
                <w:color w:val="000000"/>
              </w:rPr>
              <w:t xml:space="preserve"> provide budget certainty to the user base and guarantee the financial stability of the service, the DSB proposes to invoice users a single fixed amount on, or shortly in advance of, the User Agreement (UA) period to cover the entire UA period.</w:t>
            </w:r>
          </w:p>
          <w:p w14:paraId="5E6CD82B" w14:textId="77777777" w:rsidR="00B90441" w:rsidRPr="00DB7576" w:rsidRDefault="00B90441" w:rsidP="005245DD">
            <w:pPr>
              <w:spacing w:line="276" w:lineRule="auto"/>
              <w:rPr>
                <w:rStyle w:val="normaltextrun"/>
                <w:rFonts w:cstheme="minorHAnsi"/>
                <w:color w:val="000000"/>
              </w:rPr>
            </w:pPr>
            <w:r w:rsidRPr="00DB7576">
              <w:rPr>
                <w:rStyle w:val="normaltextrun"/>
                <w:rFonts w:cstheme="minorHAnsi"/>
                <w:color w:val="000000"/>
              </w:rPr>
              <w:t xml:space="preserve">Any differences between the DSB’s actual costs and the revenues received in the UA period will be reconciled after the DSB’s accounts for that period have been audited, with any surplus / deficit applied as an adjustment to the user fees for the year </w:t>
            </w:r>
            <w:proofErr w:type="gramStart"/>
            <w:r w:rsidRPr="00DB7576">
              <w:rPr>
                <w:rStyle w:val="normaltextrun"/>
                <w:rFonts w:cstheme="minorHAnsi"/>
                <w:color w:val="000000"/>
              </w:rPr>
              <w:t>subsequent to</w:t>
            </w:r>
            <w:proofErr w:type="gramEnd"/>
            <w:r w:rsidRPr="00DB7576">
              <w:rPr>
                <w:rStyle w:val="normaltextrun"/>
                <w:rFonts w:cstheme="minorHAnsi"/>
                <w:color w:val="000000"/>
              </w:rPr>
              <w:t xml:space="preserve"> the audited accounts being finalised.</w:t>
            </w:r>
          </w:p>
          <w:p w14:paraId="10ADE209" w14:textId="77777777" w:rsidR="00B90441" w:rsidRPr="00DB7576" w:rsidRDefault="00B90441" w:rsidP="005245DD">
            <w:pPr>
              <w:spacing w:line="276" w:lineRule="auto"/>
              <w:rPr>
                <w:rStyle w:val="normaltextrun"/>
                <w:rFonts w:cstheme="minorHAnsi"/>
                <w:color w:val="000000"/>
              </w:rPr>
            </w:pPr>
          </w:p>
          <w:p w14:paraId="79C522C5" w14:textId="77777777" w:rsidR="00B90441" w:rsidRPr="00DB7576" w:rsidRDefault="00B90441" w:rsidP="005245DD">
            <w:pPr>
              <w:spacing w:line="276" w:lineRule="auto"/>
              <w:rPr>
                <w:rStyle w:val="normaltextrun"/>
                <w:rFonts w:cstheme="minorHAnsi"/>
                <w:b/>
                <w:color w:val="000000"/>
              </w:rPr>
            </w:pPr>
            <w:r w:rsidRPr="00DB7576">
              <w:rPr>
                <w:rStyle w:val="normaltextrun"/>
                <w:rFonts w:cstheme="minorHAnsi"/>
                <w:b/>
                <w:bCs/>
                <w:color w:val="000000"/>
              </w:rPr>
              <w:t>Question 7:</w:t>
            </w:r>
            <w:r w:rsidRPr="00DB7576" w:rsidDel="007F4E8E">
              <w:rPr>
                <w:rStyle w:val="normaltextrun"/>
                <w:rFonts w:cstheme="minorHAnsi"/>
                <w:b/>
                <w:color w:val="000000"/>
              </w:rPr>
              <w:t xml:space="preserve"> </w:t>
            </w:r>
            <w:r w:rsidRPr="00DB7576">
              <w:rPr>
                <w:rStyle w:val="normaltextrun"/>
                <w:rFonts w:cstheme="minorHAnsi"/>
                <w:bCs/>
                <w:color w:val="000000"/>
              </w:rPr>
              <w:t>Do you agree with the DSB’s approach to invoicing users for its services?</w:t>
            </w:r>
          </w:p>
          <w:p w14:paraId="1AD3E5EA" w14:textId="77777777" w:rsidR="00B90441" w:rsidRPr="00DB7576" w:rsidRDefault="00B90441" w:rsidP="005245DD">
            <w:pPr>
              <w:spacing w:line="276" w:lineRule="auto"/>
              <w:rPr>
                <w:rFonts w:cstheme="minorHAnsi"/>
              </w:rPr>
            </w:pPr>
          </w:p>
        </w:tc>
        <w:tc>
          <w:tcPr>
            <w:tcW w:w="4395" w:type="dxa"/>
            <w:vAlign w:val="center"/>
          </w:tcPr>
          <w:p w14:paraId="4E280FB5" w14:textId="77777777" w:rsidR="00B90441" w:rsidRPr="00DB7576" w:rsidRDefault="00B90441" w:rsidP="005245DD">
            <w:pPr>
              <w:spacing w:line="276" w:lineRule="auto"/>
              <w:rPr>
                <w:rFonts w:cstheme="minorHAnsi"/>
              </w:rPr>
            </w:pPr>
          </w:p>
        </w:tc>
      </w:tr>
      <w:tr w:rsidR="00B90441" w:rsidRPr="00DB7576" w14:paraId="584D20C5" w14:textId="77777777" w:rsidTr="005245DD">
        <w:tc>
          <w:tcPr>
            <w:tcW w:w="704" w:type="dxa"/>
            <w:vAlign w:val="center"/>
          </w:tcPr>
          <w:p w14:paraId="0B399CF8" w14:textId="77777777" w:rsidR="00B90441" w:rsidRPr="00DB7576" w:rsidRDefault="00B90441" w:rsidP="005245DD">
            <w:pPr>
              <w:spacing w:line="276" w:lineRule="auto"/>
              <w:rPr>
                <w:rFonts w:cstheme="minorHAnsi"/>
              </w:rPr>
            </w:pPr>
            <w:r w:rsidRPr="00DB7576">
              <w:rPr>
                <w:rFonts w:cstheme="minorHAnsi"/>
              </w:rPr>
              <w:lastRenderedPageBreak/>
              <w:t>8</w:t>
            </w:r>
          </w:p>
        </w:tc>
        <w:tc>
          <w:tcPr>
            <w:tcW w:w="3827" w:type="dxa"/>
            <w:vAlign w:val="center"/>
          </w:tcPr>
          <w:p w14:paraId="3C478E11" w14:textId="77777777" w:rsidR="00B90441" w:rsidRPr="00DB7576" w:rsidRDefault="00B90441" w:rsidP="005245DD">
            <w:pPr>
              <w:spacing w:before="240" w:line="276" w:lineRule="auto"/>
              <w:rPr>
                <w:rStyle w:val="normaltextrun"/>
                <w:rFonts w:cstheme="minorHAnsi"/>
                <w:color w:val="000000"/>
              </w:rPr>
            </w:pPr>
            <w:r w:rsidRPr="00DB7576">
              <w:rPr>
                <w:rStyle w:val="normaltextrun"/>
                <w:rFonts w:cstheme="minorHAnsi"/>
                <w:b/>
                <w:bCs/>
                <w:color w:val="000000"/>
              </w:rPr>
              <w:t>Summary:</w:t>
            </w:r>
            <w:r w:rsidRPr="00DB7576" w:rsidDel="00A64403">
              <w:rPr>
                <w:rStyle w:val="normaltextrun"/>
                <w:rFonts w:cstheme="minorHAnsi"/>
                <w:b/>
                <w:color w:val="000000"/>
              </w:rPr>
              <w:t xml:space="preserve"> </w:t>
            </w:r>
            <w:r w:rsidRPr="00DB7576">
              <w:rPr>
                <w:rStyle w:val="normaltextrun"/>
                <w:rFonts w:cstheme="minorHAnsi"/>
                <w:color w:val="000000"/>
              </w:rPr>
              <w:t xml:space="preserve">The DSB will treat the cost of the initial build and any subsequent investment in system enhancements as capital expenditure and will amortize these costs over </w:t>
            </w:r>
            <w:proofErr w:type="gramStart"/>
            <w:r w:rsidRPr="00DB7576">
              <w:rPr>
                <w:rStyle w:val="normaltextrun"/>
                <w:rFonts w:cstheme="minorHAnsi"/>
                <w:color w:val="000000"/>
              </w:rPr>
              <w:t>a number of</w:t>
            </w:r>
            <w:proofErr w:type="gramEnd"/>
            <w:r w:rsidRPr="00DB7576">
              <w:rPr>
                <w:rStyle w:val="normaltextrun"/>
                <w:rFonts w:cstheme="minorHAnsi"/>
                <w:color w:val="000000"/>
              </w:rPr>
              <w:t xml:space="preserve"> years, as per generally accepted accounting principles.</w:t>
            </w:r>
          </w:p>
          <w:p w14:paraId="2021EFF4" w14:textId="77777777" w:rsidR="00B90441" w:rsidRPr="00DB7576" w:rsidRDefault="00B90441" w:rsidP="005245DD">
            <w:pPr>
              <w:spacing w:line="276" w:lineRule="auto"/>
              <w:rPr>
                <w:rStyle w:val="normaltextrun"/>
                <w:rFonts w:cstheme="minorHAnsi"/>
                <w:color w:val="000000"/>
              </w:rPr>
            </w:pPr>
            <w:r w:rsidRPr="00DB7576">
              <w:rPr>
                <w:rStyle w:val="normaltextrun"/>
                <w:rFonts w:cstheme="minorHAnsi"/>
                <w:color w:val="000000"/>
              </w:rPr>
              <w:t>The DSB proposes to amortize the capital expenditures over 4 years, starting from the first full year when the service benefits from the capital expenditure. This approach is consistent with the DSB’s existing capital expenditure policy.</w:t>
            </w:r>
          </w:p>
          <w:p w14:paraId="50FF2BF2" w14:textId="77777777" w:rsidR="00B90441" w:rsidRPr="00DB7576" w:rsidRDefault="00B90441" w:rsidP="005245DD">
            <w:pPr>
              <w:spacing w:line="276" w:lineRule="auto"/>
              <w:rPr>
                <w:rStyle w:val="normaltextrun"/>
                <w:rFonts w:cstheme="minorHAnsi"/>
                <w:color w:val="000000"/>
              </w:rPr>
            </w:pPr>
          </w:p>
          <w:p w14:paraId="6845C79E" w14:textId="77777777" w:rsidR="00B90441" w:rsidRPr="00DB7576" w:rsidRDefault="00B90441" w:rsidP="005245DD">
            <w:pPr>
              <w:spacing w:line="276" w:lineRule="auto"/>
              <w:rPr>
                <w:rStyle w:val="normaltextrun"/>
                <w:rFonts w:cstheme="minorHAnsi"/>
                <w:bCs/>
                <w:iCs/>
                <w:color w:val="000000"/>
              </w:rPr>
            </w:pPr>
            <w:r w:rsidRPr="00DB7576">
              <w:rPr>
                <w:rStyle w:val="normaltextrun"/>
                <w:rFonts w:cstheme="minorHAnsi"/>
                <w:b/>
                <w:bCs/>
                <w:color w:val="000000"/>
              </w:rPr>
              <w:t>Question 8:</w:t>
            </w:r>
            <w:r w:rsidRPr="00DB7576" w:rsidDel="00A64403">
              <w:rPr>
                <w:rStyle w:val="normaltextrun"/>
                <w:rFonts w:cstheme="minorHAnsi"/>
                <w:b/>
                <w:color w:val="000000"/>
              </w:rPr>
              <w:t xml:space="preserve"> </w:t>
            </w:r>
            <w:r w:rsidRPr="00DB7576">
              <w:rPr>
                <w:rStyle w:val="normaltextrun"/>
                <w:rFonts w:cstheme="minorHAnsi"/>
                <w:bCs/>
                <w:iCs/>
                <w:color w:val="000000"/>
              </w:rPr>
              <w:t>Do you agree with the DSB’s approach to amortisation of its capital expenditure over 4 years, starting from the first full year when the service benefits from the capital expenditure?</w:t>
            </w:r>
          </w:p>
          <w:p w14:paraId="5807D708" w14:textId="77777777" w:rsidR="00B90441" w:rsidRPr="00DB7576" w:rsidRDefault="00B90441" w:rsidP="005245DD">
            <w:pPr>
              <w:spacing w:line="276" w:lineRule="auto"/>
              <w:rPr>
                <w:rFonts w:cstheme="minorHAnsi"/>
              </w:rPr>
            </w:pPr>
          </w:p>
        </w:tc>
        <w:tc>
          <w:tcPr>
            <w:tcW w:w="4395" w:type="dxa"/>
            <w:vAlign w:val="center"/>
          </w:tcPr>
          <w:p w14:paraId="3FD1378E" w14:textId="77777777" w:rsidR="00B90441" w:rsidRPr="00DB7576" w:rsidRDefault="00B90441" w:rsidP="005245DD">
            <w:pPr>
              <w:spacing w:line="276" w:lineRule="auto"/>
              <w:rPr>
                <w:rFonts w:cstheme="minorHAnsi"/>
              </w:rPr>
            </w:pPr>
          </w:p>
        </w:tc>
      </w:tr>
      <w:tr w:rsidR="00B90441" w:rsidRPr="00DB7576" w14:paraId="3A492A17" w14:textId="77777777" w:rsidTr="005245DD">
        <w:trPr>
          <w:trHeight w:val="1948"/>
        </w:trPr>
        <w:tc>
          <w:tcPr>
            <w:tcW w:w="704" w:type="dxa"/>
            <w:vAlign w:val="center"/>
          </w:tcPr>
          <w:p w14:paraId="21EF0BC5" w14:textId="77777777" w:rsidR="00B90441" w:rsidRPr="00DB7576" w:rsidRDefault="00B90441" w:rsidP="005245DD">
            <w:pPr>
              <w:spacing w:line="276" w:lineRule="auto"/>
              <w:rPr>
                <w:rFonts w:cstheme="minorHAnsi"/>
              </w:rPr>
            </w:pPr>
            <w:r w:rsidRPr="00DB7576">
              <w:rPr>
                <w:rFonts w:cstheme="minorHAnsi"/>
              </w:rPr>
              <w:t>9</w:t>
            </w:r>
          </w:p>
        </w:tc>
        <w:tc>
          <w:tcPr>
            <w:tcW w:w="3827" w:type="dxa"/>
            <w:vAlign w:val="center"/>
          </w:tcPr>
          <w:p w14:paraId="6AA3551D" w14:textId="77777777" w:rsidR="00B90441" w:rsidRPr="00DB7576" w:rsidRDefault="00B90441" w:rsidP="005245DD">
            <w:pPr>
              <w:spacing w:line="276" w:lineRule="auto"/>
              <w:rPr>
                <w:rFonts w:cstheme="minorHAnsi"/>
              </w:rPr>
            </w:pPr>
            <w:r w:rsidRPr="00DB7576">
              <w:rPr>
                <w:rStyle w:val="eop"/>
                <w:rFonts w:cstheme="minorHAnsi"/>
              </w:rPr>
              <w:t>Please use this space for any other comments you wish to provide.</w:t>
            </w:r>
          </w:p>
        </w:tc>
        <w:tc>
          <w:tcPr>
            <w:tcW w:w="4395" w:type="dxa"/>
            <w:vAlign w:val="center"/>
          </w:tcPr>
          <w:p w14:paraId="17051D7E" w14:textId="77777777" w:rsidR="00B90441" w:rsidRPr="00DB7576" w:rsidRDefault="00B90441" w:rsidP="005245DD">
            <w:pPr>
              <w:spacing w:line="276" w:lineRule="auto"/>
              <w:rPr>
                <w:rFonts w:cstheme="minorHAnsi"/>
              </w:rPr>
            </w:pPr>
          </w:p>
        </w:tc>
      </w:tr>
    </w:tbl>
    <w:p w14:paraId="47A2366A" w14:textId="77777777" w:rsidR="00B90441" w:rsidRDefault="00B90441" w:rsidP="007F43FF">
      <w:pPr>
        <w:spacing w:line="276" w:lineRule="auto"/>
        <w:rPr>
          <w:rFonts w:asciiTheme="majorHAnsi" w:eastAsiaTheme="majorEastAsia" w:hAnsiTheme="majorHAnsi" w:cstheme="majorBidi"/>
          <w:color w:val="2E74B5" w:themeColor="accent1" w:themeShade="BF"/>
          <w:sz w:val="32"/>
          <w:szCs w:val="32"/>
        </w:rPr>
      </w:pPr>
    </w:p>
    <w:p w14:paraId="76B51767" w14:textId="77777777" w:rsidR="00922A58" w:rsidRDefault="00922A58" w:rsidP="007F43FF">
      <w:pPr>
        <w:spacing w:line="276" w:lineRule="auto"/>
        <w:rPr>
          <w:rFonts w:asciiTheme="majorHAnsi" w:eastAsiaTheme="majorEastAsia" w:hAnsiTheme="majorHAnsi" w:cstheme="majorBidi"/>
          <w:color w:val="2E74B5" w:themeColor="accent1" w:themeShade="BF"/>
          <w:sz w:val="32"/>
          <w:szCs w:val="32"/>
        </w:rPr>
      </w:pPr>
    </w:p>
    <w:sectPr w:rsidR="00922A58" w:rsidSect="0076032B">
      <w:headerReference w:type="default" r:id="rId33"/>
      <w:footerReference w:type="default" r:id="rId34"/>
      <w:headerReference w:type="first" r:id="rId35"/>
      <w:footerReference w:type="first" r:id="rId36"/>
      <w:pgSz w:w="11906" w:h="16838"/>
      <w:pgMar w:top="1440" w:right="1440" w:bottom="1276" w:left="1440" w:header="708"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6B6A8" w14:textId="77777777" w:rsidR="003377CC" w:rsidRDefault="003377CC" w:rsidP="00910C5D">
      <w:pPr>
        <w:spacing w:after="0" w:line="240" w:lineRule="auto"/>
      </w:pPr>
      <w:r>
        <w:separator/>
      </w:r>
    </w:p>
  </w:endnote>
  <w:endnote w:type="continuationSeparator" w:id="0">
    <w:p w14:paraId="6781A7D1" w14:textId="77777777" w:rsidR="003377CC" w:rsidRDefault="003377CC" w:rsidP="00910C5D">
      <w:pPr>
        <w:spacing w:after="0" w:line="240" w:lineRule="auto"/>
      </w:pPr>
      <w:r>
        <w:continuationSeparator/>
      </w:r>
    </w:p>
  </w:endnote>
  <w:endnote w:type="continuationNotice" w:id="1">
    <w:p w14:paraId="1EEE2C08" w14:textId="77777777" w:rsidR="003377CC" w:rsidRDefault="00337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6440" w14:textId="77777777" w:rsidR="00C466DA" w:rsidRPr="00910C5D" w:rsidRDefault="00C466DA">
    <w:pPr>
      <w:pStyle w:val="Footer"/>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466DA" w:rsidRPr="001630DD" w14:paraId="0899434D" w14:textId="77777777" w:rsidTr="00D859DA">
      <w:tc>
        <w:tcPr>
          <w:tcW w:w="3005" w:type="dxa"/>
          <w:shd w:val="clear" w:color="auto" w:fill="auto"/>
        </w:tcPr>
        <w:p w14:paraId="4911BB93" w14:textId="303CB330" w:rsidR="00C466DA" w:rsidRPr="001630DD" w:rsidRDefault="00C466DA" w:rsidP="00B24903">
          <w:pPr>
            <w:pStyle w:val="Footer"/>
            <w:rPr>
              <w:color w:val="000000" w:themeColor="text1"/>
              <w:sz w:val="18"/>
            </w:rPr>
          </w:pPr>
          <w:r w:rsidRPr="001630DD">
            <w:rPr>
              <w:color w:val="000000" w:themeColor="text1"/>
              <w:sz w:val="18"/>
            </w:rPr>
            <w:t>©DSB 20</w:t>
          </w:r>
          <w:r>
            <w:rPr>
              <w:color w:val="000000" w:themeColor="text1"/>
              <w:sz w:val="18"/>
            </w:rPr>
            <w:t>2</w:t>
          </w:r>
          <w:r w:rsidR="001B635C">
            <w:rPr>
              <w:color w:val="000000" w:themeColor="text1"/>
              <w:sz w:val="18"/>
            </w:rPr>
            <w:t>1</w:t>
          </w:r>
        </w:p>
      </w:tc>
      <w:tc>
        <w:tcPr>
          <w:tcW w:w="3005" w:type="dxa"/>
          <w:shd w:val="clear" w:color="auto" w:fill="auto"/>
        </w:tcPr>
        <w:p w14:paraId="4855C574" w14:textId="577D44DC" w:rsidR="00C466DA" w:rsidRPr="001630DD" w:rsidRDefault="00C466DA" w:rsidP="001630DD">
          <w:pPr>
            <w:pStyle w:val="Footer"/>
            <w:jc w:val="center"/>
            <w:rPr>
              <w:color w:val="000000" w:themeColor="text1"/>
              <w:sz w:val="18"/>
            </w:rPr>
          </w:pPr>
          <w:r>
            <w:rPr>
              <w:color w:val="000000" w:themeColor="text1"/>
              <w:sz w:val="18"/>
            </w:rPr>
            <w:t xml:space="preserve">Consultation Paper – response deadline is UTC on </w:t>
          </w:r>
          <w:r w:rsidR="00D7395B">
            <w:rPr>
              <w:color w:val="000000" w:themeColor="text1"/>
              <w:sz w:val="18"/>
            </w:rPr>
            <w:t>5 March 2021</w:t>
          </w:r>
        </w:p>
      </w:tc>
      <w:tc>
        <w:tcPr>
          <w:tcW w:w="3006" w:type="dxa"/>
          <w:shd w:val="clear" w:color="auto" w:fill="auto"/>
        </w:tcPr>
        <w:p w14:paraId="1D84BED2" w14:textId="5300D1FE" w:rsidR="00C466DA" w:rsidRPr="001630DD" w:rsidRDefault="00C466DA" w:rsidP="001630DD">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noProof/>
              <w:color w:val="000000" w:themeColor="text1"/>
              <w:sz w:val="18"/>
            </w:rPr>
            <w:t>21</w:t>
          </w:r>
          <w:r w:rsidRPr="001630DD">
            <w:rPr>
              <w:noProof/>
              <w:color w:val="000000" w:themeColor="text1"/>
              <w:sz w:val="18"/>
            </w:rPr>
            <w:fldChar w:fldCharType="end"/>
          </w:r>
        </w:p>
      </w:tc>
    </w:tr>
  </w:tbl>
  <w:p w14:paraId="7AB79F9C" w14:textId="77777777" w:rsidR="00C466DA" w:rsidRDefault="00C46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C466DA" w14:paraId="35E7C764" w14:textId="77777777" w:rsidTr="75828AE8">
      <w:tc>
        <w:tcPr>
          <w:tcW w:w="3009" w:type="dxa"/>
        </w:tcPr>
        <w:p w14:paraId="7B47EBAF" w14:textId="20AD826E" w:rsidR="00C466DA" w:rsidRDefault="00C466DA" w:rsidP="75828AE8">
          <w:pPr>
            <w:pStyle w:val="Header"/>
            <w:ind w:left="-115"/>
          </w:pPr>
        </w:p>
      </w:tc>
      <w:tc>
        <w:tcPr>
          <w:tcW w:w="3009" w:type="dxa"/>
        </w:tcPr>
        <w:p w14:paraId="112988BF" w14:textId="77777777" w:rsidR="00C466DA" w:rsidRDefault="00C466DA" w:rsidP="75828AE8">
          <w:pPr>
            <w:pStyle w:val="Header"/>
            <w:jc w:val="center"/>
          </w:pPr>
        </w:p>
      </w:tc>
      <w:tc>
        <w:tcPr>
          <w:tcW w:w="3009" w:type="dxa"/>
        </w:tcPr>
        <w:p w14:paraId="016FB7B8" w14:textId="77777777" w:rsidR="00C466DA" w:rsidRDefault="00C466DA" w:rsidP="75828AE8">
          <w:pPr>
            <w:pStyle w:val="Header"/>
            <w:ind w:right="-115"/>
            <w:jc w:val="righ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E66B5" w:rsidRPr="001630DD" w14:paraId="28C0F951" w14:textId="77777777" w:rsidTr="004A42B7">
      <w:tc>
        <w:tcPr>
          <w:tcW w:w="3005" w:type="dxa"/>
          <w:shd w:val="clear" w:color="auto" w:fill="auto"/>
        </w:tcPr>
        <w:p w14:paraId="22ACABF7" w14:textId="24DD017B" w:rsidR="00AE66B5" w:rsidRPr="001630DD" w:rsidRDefault="00AE66B5" w:rsidP="00AE66B5">
          <w:pPr>
            <w:pStyle w:val="Footer"/>
            <w:rPr>
              <w:color w:val="000000" w:themeColor="text1"/>
              <w:sz w:val="18"/>
            </w:rPr>
          </w:pPr>
          <w:r w:rsidRPr="001630DD">
            <w:rPr>
              <w:color w:val="000000" w:themeColor="text1"/>
              <w:sz w:val="18"/>
            </w:rPr>
            <w:t>©DSB 20</w:t>
          </w:r>
          <w:r>
            <w:rPr>
              <w:color w:val="000000" w:themeColor="text1"/>
              <w:sz w:val="18"/>
            </w:rPr>
            <w:t>2</w:t>
          </w:r>
          <w:r w:rsidR="001B635C">
            <w:rPr>
              <w:color w:val="000000" w:themeColor="text1"/>
              <w:sz w:val="18"/>
            </w:rPr>
            <w:t>1</w:t>
          </w:r>
        </w:p>
      </w:tc>
      <w:tc>
        <w:tcPr>
          <w:tcW w:w="3005" w:type="dxa"/>
          <w:shd w:val="clear" w:color="auto" w:fill="auto"/>
        </w:tcPr>
        <w:p w14:paraId="554DF47A" w14:textId="29797B05" w:rsidR="00AE66B5" w:rsidRPr="001630DD" w:rsidRDefault="00AE66B5" w:rsidP="00AE66B5">
          <w:pPr>
            <w:pStyle w:val="Footer"/>
            <w:jc w:val="center"/>
            <w:rPr>
              <w:color w:val="000000" w:themeColor="text1"/>
              <w:sz w:val="18"/>
            </w:rPr>
          </w:pPr>
          <w:r>
            <w:rPr>
              <w:color w:val="000000" w:themeColor="text1"/>
              <w:sz w:val="18"/>
            </w:rPr>
            <w:t>Consultation Paper – response deadline is 5pm UTC on</w:t>
          </w:r>
          <w:r w:rsidR="00E44D6E">
            <w:rPr>
              <w:color w:val="000000" w:themeColor="text1"/>
              <w:sz w:val="18"/>
            </w:rPr>
            <w:t xml:space="preserve"> 5 March </w:t>
          </w:r>
          <w:r>
            <w:rPr>
              <w:color w:val="000000" w:themeColor="text1"/>
              <w:sz w:val="18"/>
            </w:rPr>
            <w:t>202</w:t>
          </w:r>
          <w:r w:rsidR="00E44D6E">
            <w:rPr>
              <w:color w:val="000000" w:themeColor="text1"/>
              <w:sz w:val="18"/>
            </w:rPr>
            <w:t>1</w:t>
          </w:r>
        </w:p>
      </w:tc>
      <w:tc>
        <w:tcPr>
          <w:tcW w:w="3006" w:type="dxa"/>
          <w:shd w:val="clear" w:color="auto" w:fill="auto"/>
        </w:tcPr>
        <w:p w14:paraId="2AA8CCAE" w14:textId="77777777" w:rsidR="00AE66B5" w:rsidRPr="001630DD" w:rsidRDefault="00AE66B5" w:rsidP="00AE66B5">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color w:val="000000" w:themeColor="text1"/>
              <w:sz w:val="18"/>
            </w:rPr>
            <w:t>5</w:t>
          </w:r>
          <w:r w:rsidRPr="001630DD">
            <w:rPr>
              <w:noProof/>
              <w:color w:val="000000" w:themeColor="text1"/>
              <w:sz w:val="18"/>
            </w:rPr>
            <w:fldChar w:fldCharType="end"/>
          </w:r>
        </w:p>
      </w:tc>
    </w:tr>
  </w:tbl>
  <w:p w14:paraId="0E29648E" w14:textId="77777777" w:rsidR="00AE66B5" w:rsidRDefault="00AE66B5" w:rsidP="00AE66B5">
    <w:pPr>
      <w:pStyle w:val="Footer"/>
    </w:pPr>
  </w:p>
  <w:p w14:paraId="17D90DFD" w14:textId="77777777" w:rsidR="00C466DA" w:rsidRDefault="00C466DA" w:rsidP="00FA1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6DAC3" w14:textId="77777777" w:rsidR="003377CC" w:rsidRDefault="003377CC" w:rsidP="00910C5D">
      <w:pPr>
        <w:spacing w:after="0" w:line="240" w:lineRule="auto"/>
      </w:pPr>
      <w:r>
        <w:separator/>
      </w:r>
    </w:p>
  </w:footnote>
  <w:footnote w:type="continuationSeparator" w:id="0">
    <w:p w14:paraId="155729D8" w14:textId="77777777" w:rsidR="003377CC" w:rsidRDefault="003377CC" w:rsidP="00910C5D">
      <w:pPr>
        <w:spacing w:after="0" w:line="240" w:lineRule="auto"/>
      </w:pPr>
      <w:r>
        <w:continuationSeparator/>
      </w:r>
    </w:p>
  </w:footnote>
  <w:footnote w:type="continuationNotice" w:id="1">
    <w:p w14:paraId="5E236411" w14:textId="77777777" w:rsidR="003377CC" w:rsidRDefault="003377CC">
      <w:pPr>
        <w:spacing w:after="0" w:line="240" w:lineRule="auto"/>
      </w:pPr>
    </w:p>
  </w:footnote>
  <w:footnote w:id="2">
    <w:p w14:paraId="655293DC" w14:textId="77777777" w:rsidR="00185AC3" w:rsidRDefault="00185AC3" w:rsidP="00185AC3">
      <w:pPr>
        <w:pStyle w:val="FootnoteText"/>
      </w:pPr>
      <w:r>
        <w:rPr>
          <w:rStyle w:val="FootnoteReference"/>
        </w:rPr>
        <w:footnoteRef/>
      </w:r>
      <w:r>
        <w:t xml:space="preserve"> </w:t>
      </w:r>
      <w:hyperlink r:id="rId1" w:history="1">
        <w:r>
          <w:rPr>
            <w:rStyle w:val="Hyperlink"/>
          </w:rPr>
          <w:t>https://www.fsb.org/2019/05/fsb-designates-dsb-as-unique-product-identifier-upi-service-provider/</w:t>
        </w:r>
      </w:hyperlink>
      <w:r>
        <w:t xml:space="preserve"> </w:t>
      </w:r>
    </w:p>
  </w:footnote>
  <w:footnote w:id="3">
    <w:p w14:paraId="2BFF4A98" w14:textId="77777777" w:rsidR="00185AC3" w:rsidRDefault="00185AC3" w:rsidP="00185AC3">
      <w:pPr>
        <w:pStyle w:val="FootnoteText"/>
      </w:pPr>
      <w:r>
        <w:rPr>
          <w:rStyle w:val="FootnoteReference"/>
        </w:rPr>
        <w:footnoteRef/>
      </w:r>
      <w:r>
        <w:t xml:space="preserve"> </w:t>
      </w:r>
      <w:r w:rsidRPr="001D5B1D">
        <w:rPr>
          <w:rStyle w:val="Hyperlink"/>
        </w:rPr>
        <w:t>https://www.fsb.org/wp-content/uploads/r_140919.pdf</w:t>
      </w:r>
      <w:r>
        <w:t xml:space="preserve"> </w:t>
      </w:r>
    </w:p>
  </w:footnote>
  <w:footnote w:id="4">
    <w:p w14:paraId="7BDD83BB" w14:textId="77777777" w:rsidR="00185AC3" w:rsidRDefault="00185AC3" w:rsidP="00185AC3">
      <w:pPr>
        <w:pStyle w:val="FootnoteText"/>
      </w:pPr>
      <w:r>
        <w:rPr>
          <w:rStyle w:val="FootnoteReference"/>
        </w:rPr>
        <w:footnoteRef/>
      </w:r>
      <w:r>
        <w:t xml:space="preserve"> </w:t>
      </w:r>
      <w:hyperlink r:id="rId2" w:history="1">
        <w:r w:rsidRPr="009E1A5E">
          <w:rPr>
            <w:rStyle w:val="Hyperlink"/>
          </w:rPr>
          <w:t>https://www.anna-dsb.com/upi-fee-model-consultation-2021/</w:t>
        </w:r>
      </w:hyperlink>
      <w:r>
        <w:t xml:space="preserve"> </w:t>
      </w:r>
    </w:p>
  </w:footnote>
  <w:footnote w:id="5">
    <w:p w14:paraId="33D61956" w14:textId="6D3F98ED" w:rsidR="00E24150" w:rsidRPr="00E24150" w:rsidRDefault="00E24150">
      <w:pPr>
        <w:pStyle w:val="FootnoteText"/>
      </w:pPr>
      <w:r>
        <w:rPr>
          <w:rStyle w:val="FootnoteReference"/>
        </w:rPr>
        <w:footnoteRef/>
      </w:r>
      <w:r>
        <w:t xml:space="preserve"> Recording will be made available on the DSB website </w:t>
      </w:r>
    </w:p>
  </w:footnote>
  <w:footnote w:id="6">
    <w:p w14:paraId="7C1386F4" w14:textId="77777777" w:rsidR="00185AC3" w:rsidRDefault="00185AC3" w:rsidP="00185AC3">
      <w:pPr>
        <w:pStyle w:val="FootnoteText"/>
      </w:pPr>
      <w:r>
        <w:rPr>
          <w:rStyle w:val="FootnoteReference"/>
        </w:rPr>
        <w:footnoteRef/>
      </w:r>
      <w:r>
        <w:t xml:space="preserve"> </w:t>
      </w:r>
      <w:hyperlink r:id="rId3" w:history="1">
        <w:r w:rsidRPr="00BC4A81">
          <w:rPr>
            <w:rStyle w:val="Hyperlink"/>
          </w:rPr>
          <w:t>https://www.iso.org/standard/80506.html</w:t>
        </w:r>
      </w:hyperlink>
      <w:r>
        <w:t xml:space="preserve"> </w:t>
      </w:r>
    </w:p>
  </w:footnote>
  <w:footnote w:id="7">
    <w:p w14:paraId="142D3FBF" w14:textId="77777777" w:rsidR="00185AC3" w:rsidRDefault="00185AC3" w:rsidP="00185AC3">
      <w:pPr>
        <w:pStyle w:val="FootnoteText"/>
      </w:pPr>
      <w:r>
        <w:rPr>
          <w:rStyle w:val="FootnoteReference"/>
        </w:rPr>
        <w:footnoteRef/>
      </w:r>
      <w:r>
        <w:t xml:space="preserve"> </w:t>
      </w:r>
      <w:hyperlink r:id="rId4" w:history="1">
        <w:r w:rsidRPr="004C0771">
          <w:rPr>
            <w:rStyle w:val="Hyperlink"/>
          </w:rPr>
          <w:t>https://www.iso.org/standard/77308.html</w:t>
        </w:r>
      </w:hyperlink>
    </w:p>
  </w:footnote>
  <w:footnote w:id="8">
    <w:p w14:paraId="26F334AA" w14:textId="77777777" w:rsidR="00185AC3" w:rsidRDefault="00185AC3" w:rsidP="00185AC3">
      <w:pPr>
        <w:pStyle w:val="FootnoteText"/>
      </w:pPr>
      <w:r>
        <w:rPr>
          <w:rStyle w:val="FootnoteReference"/>
        </w:rPr>
        <w:footnoteRef/>
      </w:r>
      <w:r>
        <w:t xml:space="preserve"> </w:t>
      </w:r>
      <w:hyperlink r:id="rId5" w:history="1">
        <w:r w:rsidRPr="003F6E05">
          <w:rPr>
            <w:rStyle w:val="Hyperlink"/>
          </w:rPr>
          <w:t>https://www.iso20022.org/</w:t>
        </w:r>
      </w:hyperlink>
      <w:r>
        <w:rPr>
          <w:rStyle w:val="Hyperlink"/>
        </w:rPr>
        <w:t xml:space="preserve"> </w:t>
      </w:r>
    </w:p>
  </w:footnote>
  <w:footnote w:id="9">
    <w:p w14:paraId="5B383306" w14:textId="77777777" w:rsidR="00185AC3" w:rsidRDefault="00185AC3" w:rsidP="00185AC3">
      <w:pPr>
        <w:pStyle w:val="FootnoteText"/>
      </w:pPr>
      <w:r>
        <w:rPr>
          <w:rStyle w:val="FootnoteReference"/>
        </w:rPr>
        <w:footnoteRef/>
      </w:r>
      <w:r>
        <w:t xml:space="preserve"> </w:t>
      </w:r>
      <w:hyperlink r:id="rId6" w:history="1">
        <w:r w:rsidRPr="00BC4A81">
          <w:rPr>
            <w:rStyle w:val="Hyperlink"/>
          </w:rPr>
          <w:t>https://www.iso.org/standard/78829.html</w:t>
        </w:r>
      </w:hyperlink>
      <w:r>
        <w:t xml:space="preserve"> </w:t>
      </w:r>
    </w:p>
  </w:footnote>
  <w:footnote w:id="10">
    <w:p w14:paraId="160A6225" w14:textId="77777777" w:rsidR="00185AC3" w:rsidRDefault="00185AC3" w:rsidP="00185AC3">
      <w:pPr>
        <w:pStyle w:val="FootnoteText"/>
      </w:pPr>
      <w:r>
        <w:rPr>
          <w:rStyle w:val="FootnoteReference"/>
        </w:rPr>
        <w:footnoteRef/>
      </w:r>
      <w:r>
        <w:t xml:space="preserve"> </w:t>
      </w:r>
      <w:hyperlink r:id="rId7" w:history="1">
        <w:r w:rsidRPr="00D7762A">
          <w:rPr>
            <w:rStyle w:val="Hyperlink"/>
          </w:rPr>
          <w:t>http://www.bis.org/cpmi/publ/d169.htm</w:t>
        </w:r>
      </w:hyperlink>
      <w:r>
        <w:t xml:space="preserve"> </w:t>
      </w:r>
    </w:p>
  </w:footnote>
  <w:footnote w:id="11">
    <w:p w14:paraId="2763EDAD" w14:textId="77777777" w:rsidR="00185AC3" w:rsidRDefault="00185AC3" w:rsidP="00185AC3">
      <w:pPr>
        <w:pStyle w:val="FootnoteText"/>
      </w:pPr>
      <w:r>
        <w:rPr>
          <w:rStyle w:val="FootnoteReference"/>
        </w:rPr>
        <w:footnoteRef/>
      </w:r>
      <w:r>
        <w:t xml:space="preserve"> </w:t>
      </w:r>
      <w:hyperlink r:id="rId8" w:history="1">
        <w:r w:rsidRPr="00D7762A">
          <w:rPr>
            <w:rStyle w:val="Hyperlink"/>
          </w:rPr>
          <w:t>https://www.bis.org/cpmi/publ/d158.pdf</w:t>
        </w:r>
      </w:hyperlink>
      <w:r>
        <w:t xml:space="preserve"> </w:t>
      </w:r>
    </w:p>
  </w:footnote>
  <w:footnote w:id="12">
    <w:p w14:paraId="3FA1BD38" w14:textId="77777777" w:rsidR="00185AC3" w:rsidRDefault="00185AC3" w:rsidP="00185AC3">
      <w:pPr>
        <w:pStyle w:val="FootnoteText"/>
      </w:pPr>
      <w:r>
        <w:rPr>
          <w:rStyle w:val="FootnoteReference"/>
        </w:rPr>
        <w:footnoteRef/>
      </w:r>
      <w:r>
        <w:t xml:space="preserve"> </w:t>
      </w:r>
      <w:hyperlink r:id="rId9" w:history="1">
        <w:r w:rsidRPr="00D7762A">
          <w:rPr>
            <w:rStyle w:val="Hyperlink"/>
          </w:rPr>
          <w:t>https://www.bis.org/cpmi/publ/d175.pdf</w:t>
        </w:r>
      </w:hyperlink>
      <w:r>
        <w:t xml:space="preserve"> </w:t>
      </w:r>
    </w:p>
  </w:footnote>
  <w:footnote w:id="13">
    <w:p w14:paraId="3AE4F01A" w14:textId="77777777" w:rsidR="00185AC3" w:rsidRDefault="00185AC3" w:rsidP="00185AC3">
      <w:pPr>
        <w:pStyle w:val="FootnoteText"/>
      </w:pPr>
      <w:r>
        <w:rPr>
          <w:rStyle w:val="FootnoteReference"/>
        </w:rPr>
        <w:footnoteRef/>
      </w:r>
      <w:r>
        <w:t xml:space="preserve"> </w:t>
      </w:r>
      <w:hyperlink r:id="rId10" w:history="1">
        <w:r w:rsidRPr="00D7762A">
          <w:rPr>
            <w:rStyle w:val="Hyperlink"/>
          </w:rPr>
          <w:t>https://www.fsb.org/2019/10/governance-arrangements-for-the-upi/</w:t>
        </w:r>
      </w:hyperlink>
      <w:r>
        <w:t xml:space="preserve"> </w:t>
      </w:r>
    </w:p>
  </w:footnote>
  <w:footnote w:id="14">
    <w:p w14:paraId="7BDBD85A" w14:textId="77777777" w:rsidR="00185AC3" w:rsidRPr="00EC6525" w:rsidRDefault="00185AC3" w:rsidP="00185AC3">
      <w:pPr>
        <w:pStyle w:val="FootnoteText"/>
      </w:pPr>
      <w:r>
        <w:rPr>
          <w:rStyle w:val="FootnoteReference"/>
        </w:rPr>
        <w:footnoteRef/>
      </w:r>
      <w:r>
        <w:t xml:space="preserve"> </w:t>
      </w:r>
      <w:hyperlink r:id="rId11" w:history="1">
        <w:r w:rsidRPr="005B1E2B">
          <w:rPr>
            <w:rStyle w:val="Hyperlink"/>
          </w:rPr>
          <w:t>https://www.leiroc.org/publications/gls/roc_20201001-2.pdf</w:t>
        </w:r>
      </w:hyperlink>
      <w:r>
        <w:t xml:space="preserve"> </w:t>
      </w:r>
    </w:p>
  </w:footnote>
  <w:footnote w:id="15">
    <w:p w14:paraId="3C07FCC4" w14:textId="77777777" w:rsidR="00185AC3" w:rsidRDefault="00185AC3" w:rsidP="00185AC3">
      <w:pPr>
        <w:pStyle w:val="FootnoteText"/>
      </w:pPr>
      <w:r>
        <w:rPr>
          <w:rStyle w:val="FootnoteReference"/>
        </w:rPr>
        <w:footnoteRef/>
      </w:r>
      <w:r>
        <w:t xml:space="preserve"> </w:t>
      </w:r>
      <w:hyperlink r:id="rId12" w:history="1">
        <w:r w:rsidRPr="00D7762A">
          <w:rPr>
            <w:rStyle w:val="Hyperlink"/>
          </w:rPr>
          <w:t>https://www.fsb.org/2020/09/lei-roc-to-become-governance-body-for-otc-derivatives-identifiers/</w:t>
        </w:r>
      </w:hyperlink>
      <w:r>
        <w:t xml:space="preserve"> </w:t>
      </w:r>
    </w:p>
  </w:footnote>
  <w:footnote w:id="16">
    <w:p w14:paraId="1978BFA6" w14:textId="77777777" w:rsidR="00185AC3" w:rsidRDefault="00185AC3" w:rsidP="00185AC3">
      <w:pPr>
        <w:pStyle w:val="FootnoteText"/>
      </w:pPr>
      <w:r>
        <w:rPr>
          <w:rStyle w:val="FootnoteReference"/>
        </w:rPr>
        <w:footnoteRef/>
      </w:r>
      <w:r>
        <w:t xml:space="preserve"> </w:t>
      </w:r>
      <w:hyperlink r:id="rId13" w:history="1">
        <w:r w:rsidRPr="00D7762A">
          <w:rPr>
            <w:rStyle w:val="Hyperlink"/>
          </w:rPr>
          <w:t>https://www.leiroc.org/publications/gls/roc_20201001-1.pdf</w:t>
        </w:r>
      </w:hyperlink>
      <w:r>
        <w:t xml:space="preserve"> </w:t>
      </w:r>
    </w:p>
  </w:footnote>
  <w:footnote w:id="17">
    <w:p w14:paraId="485D11FB" w14:textId="7012A9A8" w:rsidR="00185AC3" w:rsidRDefault="00185AC3" w:rsidP="00185AC3">
      <w:pPr>
        <w:pStyle w:val="FootnoteText"/>
        <w:ind w:left="142" w:hanging="142"/>
        <w:jc w:val="both"/>
      </w:pPr>
      <w:r w:rsidRPr="00125062">
        <w:rPr>
          <w:rStyle w:val="FootnoteReference"/>
        </w:rPr>
        <w:footnoteRef/>
      </w:r>
      <w:r w:rsidRPr="00125062">
        <w:t xml:space="preserve"> It shall be note that the FSB has no authority over the ISO, so that </w:t>
      </w:r>
      <w:r w:rsidR="007E4017">
        <w:t xml:space="preserve">development of the </w:t>
      </w:r>
      <w:r w:rsidRPr="00125062">
        <w:t xml:space="preserve">UPI </w:t>
      </w:r>
      <w:r w:rsidR="007E4017" w:rsidRPr="00125062">
        <w:t>s</w:t>
      </w:r>
      <w:r w:rsidR="007E4017">
        <w:t>tandard</w:t>
      </w:r>
      <w:r w:rsidRPr="00125062">
        <w:t xml:space="preserve"> is subject to the usual ISO process (</w:t>
      </w:r>
      <w:hyperlink r:id="rId14" w:history="1">
        <w:r w:rsidRPr="00125062">
          <w:rPr>
            <w:rStyle w:val="Hyperlink"/>
          </w:rPr>
          <w:t>https://committee.iso.org/sites/tc68/home/news/content-left-area/news-and-updates/unique-product-identifier-upi-ba.html</w:t>
        </w:r>
      </w:hyperlink>
      <w:r w:rsidRPr="00125062">
        <w:rPr>
          <w:rStyle w:val="Hyperlink"/>
        </w:rPr>
        <w:t>)</w:t>
      </w:r>
    </w:p>
  </w:footnote>
  <w:footnote w:id="18">
    <w:p w14:paraId="35879962" w14:textId="77777777" w:rsidR="00185AC3" w:rsidRPr="00CD4C99" w:rsidRDefault="00185AC3" w:rsidP="00185AC3">
      <w:pPr>
        <w:pStyle w:val="FootnoteText"/>
      </w:pPr>
      <w:r>
        <w:rPr>
          <w:rStyle w:val="FootnoteReference"/>
        </w:rPr>
        <w:footnoteRef/>
      </w:r>
      <w:r>
        <w:t xml:space="preserve"> </w:t>
      </w:r>
      <w:hyperlink r:id="rId15" w:history="1">
        <w:r w:rsidRPr="005B1E2B">
          <w:rPr>
            <w:rStyle w:val="Hyperlink"/>
          </w:rPr>
          <w:t>https://www.anna-dsb.com/product-committee/</w:t>
        </w:r>
      </w:hyperlink>
      <w:r>
        <w:t xml:space="preserve"> </w:t>
      </w:r>
    </w:p>
  </w:footnote>
  <w:footnote w:id="19">
    <w:p w14:paraId="2E141E38" w14:textId="77777777" w:rsidR="00185AC3" w:rsidRPr="00CD4C99" w:rsidRDefault="00185AC3" w:rsidP="00185AC3">
      <w:pPr>
        <w:pStyle w:val="FootnoteText"/>
      </w:pPr>
      <w:r>
        <w:rPr>
          <w:rStyle w:val="FootnoteReference"/>
        </w:rPr>
        <w:footnoteRef/>
      </w:r>
      <w:r>
        <w:t xml:space="preserve"> </w:t>
      </w:r>
      <w:hyperlink r:id="rId16" w:history="1">
        <w:r w:rsidRPr="005B1E2B">
          <w:rPr>
            <w:rStyle w:val="Hyperlink"/>
          </w:rPr>
          <w:t>https://www.anna-dsb.com/technology-advisory-committee/</w:t>
        </w:r>
      </w:hyperlink>
      <w:r>
        <w:t xml:space="preserve"> </w:t>
      </w:r>
    </w:p>
  </w:footnote>
  <w:footnote w:id="20">
    <w:p w14:paraId="54D8071C" w14:textId="77777777" w:rsidR="00185AC3" w:rsidRDefault="00185AC3" w:rsidP="00185AC3">
      <w:pPr>
        <w:pStyle w:val="FootnoteText"/>
        <w:ind w:left="284" w:hanging="284"/>
        <w:jc w:val="both"/>
      </w:pPr>
      <w:r w:rsidRPr="00125062">
        <w:rPr>
          <w:rStyle w:val="FootnoteReference"/>
        </w:rPr>
        <w:footnoteRef/>
      </w:r>
      <w:r w:rsidRPr="00125062">
        <w:t xml:space="preserve"> The IGB provides oversight over the UPI Service providers and other elements of the UPI Governance Arrangements, as well coordinate with various stakeholders and other international standard-setting bodies (including CPMI, IOSCO, FSB and ISO).    </w:t>
      </w:r>
      <w:r w:rsidRPr="00125062">
        <w:rPr>
          <w:rStyle w:val="CommentReference"/>
        </w:rPr>
        <w:annotationRef/>
      </w:r>
    </w:p>
  </w:footnote>
  <w:footnote w:id="21">
    <w:p w14:paraId="7E95A2EC" w14:textId="77777777" w:rsidR="00185AC3" w:rsidRPr="00102E99" w:rsidRDefault="00185AC3" w:rsidP="00185AC3">
      <w:pPr>
        <w:pStyle w:val="FootnoteText"/>
      </w:pPr>
      <w:r>
        <w:rPr>
          <w:rStyle w:val="FootnoteReference"/>
        </w:rPr>
        <w:footnoteRef/>
      </w:r>
      <w:r>
        <w:t xml:space="preserve"> </w:t>
      </w:r>
      <w:hyperlink r:id="rId17" w:history="1">
        <w:r w:rsidRPr="009E1A5E">
          <w:rPr>
            <w:rStyle w:val="Hyperlink"/>
          </w:rPr>
          <w:t>https://www.leiroc.org/about/membersandobservers/index.htm</w:t>
        </w:r>
      </w:hyperlink>
      <w:r>
        <w:t xml:space="preserve"> </w:t>
      </w:r>
    </w:p>
  </w:footnote>
  <w:footnote w:id="22">
    <w:p w14:paraId="4D982B33" w14:textId="77777777" w:rsidR="00185AC3" w:rsidRDefault="00185AC3" w:rsidP="00185AC3">
      <w:pPr>
        <w:pStyle w:val="FootnoteText"/>
      </w:pPr>
      <w:r>
        <w:rPr>
          <w:rStyle w:val="FootnoteReference"/>
        </w:rPr>
        <w:footnoteRef/>
      </w:r>
      <w:r>
        <w:t xml:space="preserve"> </w:t>
      </w:r>
      <w:r w:rsidDel="00464FDE">
        <w:fldChar w:fldCharType="begin"/>
      </w:r>
      <w:r w:rsidDel="00464FDE">
        <w:fldChar w:fldCharType="separate"/>
      </w:r>
      <w:r>
        <w:rPr>
          <w:rStyle w:val="Hyperlink"/>
        </w:rPr>
        <w:t>See</w:t>
      </w:r>
      <w:r w:rsidDel="00464FDE">
        <w:rPr>
          <w:rStyle w:val="Hyperlink"/>
        </w:rPr>
        <w:fldChar w:fldCharType="end"/>
      </w:r>
      <w:r>
        <w:rPr>
          <w:rStyle w:val="Hyperlink"/>
        </w:rPr>
        <w:t xml:space="preserve"> See footnote 13</w:t>
      </w:r>
      <w:r>
        <w:t xml:space="preserve"> </w:t>
      </w:r>
    </w:p>
  </w:footnote>
  <w:footnote w:id="23">
    <w:p w14:paraId="61BE19EB" w14:textId="77777777" w:rsidR="00185AC3" w:rsidRDefault="00185AC3" w:rsidP="00185AC3">
      <w:pPr>
        <w:pStyle w:val="FootnoteText"/>
      </w:pPr>
      <w:r>
        <w:rPr>
          <w:rStyle w:val="FootnoteReference"/>
        </w:rPr>
        <w:footnoteRef/>
      </w:r>
      <w:r>
        <w:t xml:space="preserve"> </w:t>
      </w:r>
      <w:r w:rsidDel="00464FDE">
        <w:fldChar w:fldCharType="begin"/>
      </w:r>
      <w:r w:rsidDel="00464FDE">
        <w:fldChar w:fldCharType="separate"/>
      </w:r>
      <w:r>
        <w:rPr>
          <w:rStyle w:val="Hyperlink"/>
        </w:rPr>
        <w:t>See</w:t>
      </w:r>
      <w:r w:rsidDel="00464FDE">
        <w:rPr>
          <w:rStyle w:val="Hyperlink"/>
        </w:rPr>
        <w:fldChar w:fldCharType="end"/>
      </w:r>
      <w:r>
        <w:rPr>
          <w:rStyle w:val="Hyperlink"/>
        </w:rPr>
        <w:t xml:space="preserve"> See footnote 14</w:t>
      </w:r>
      <w:r>
        <w:t xml:space="preserve"> </w:t>
      </w:r>
    </w:p>
  </w:footnote>
  <w:footnote w:id="24">
    <w:p w14:paraId="5E42FAB5" w14:textId="77777777" w:rsidR="00185AC3" w:rsidRDefault="00185AC3" w:rsidP="00185AC3">
      <w:pPr>
        <w:pStyle w:val="FootnoteText"/>
      </w:pPr>
      <w:r>
        <w:rPr>
          <w:rStyle w:val="FootnoteReference"/>
        </w:rPr>
        <w:footnoteRef/>
      </w:r>
      <w:r>
        <w:t xml:space="preserve"> </w:t>
      </w:r>
      <w:hyperlink r:id="rId18" w:history="1">
        <w:r w:rsidRPr="002B2417">
          <w:rPr>
            <w:rStyle w:val="Hyperlink"/>
          </w:rPr>
          <w:t>See footnote 9</w:t>
        </w:r>
      </w:hyperlink>
    </w:p>
  </w:footnote>
  <w:footnote w:id="25">
    <w:p w14:paraId="4A98D51C" w14:textId="77777777" w:rsidR="00185AC3" w:rsidRDefault="00185AC3" w:rsidP="00185AC3">
      <w:pPr>
        <w:pStyle w:val="FootnoteText"/>
      </w:pPr>
      <w:r>
        <w:rPr>
          <w:rStyle w:val="FootnoteReference"/>
        </w:rPr>
        <w:footnoteRef/>
      </w:r>
      <w:r>
        <w:t xml:space="preserve"> </w:t>
      </w:r>
      <w:hyperlink r:id="rId19" w:history="1">
        <w:r w:rsidRPr="00C83D8A">
          <w:rPr>
            <w:rStyle w:val="Hyperlink"/>
          </w:rPr>
          <w:t>See footnote 9</w:t>
        </w:r>
      </w:hyperlink>
    </w:p>
  </w:footnote>
  <w:footnote w:id="26">
    <w:p w14:paraId="64346777" w14:textId="77777777" w:rsidR="00185AC3" w:rsidRDefault="00185AC3" w:rsidP="00185AC3">
      <w:pPr>
        <w:pStyle w:val="FootnoteText"/>
      </w:pPr>
      <w:r>
        <w:rPr>
          <w:rStyle w:val="FootnoteReference"/>
        </w:rPr>
        <w:footnoteRef/>
      </w:r>
      <w:r>
        <w:t xml:space="preserve"> </w:t>
      </w:r>
      <w:r>
        <w:rPr>
          <w:rStyle w:val="Hyperlink"/>
        </w:rPr>
        <w:t>See footnote 4</w:t>
      </w:r>
      <w:r>
        <w:t xml:space="preserve"> </w:t>
      </w:r>
    </w:p>
  </w:footnote>
  <w:footnote w:id="27">
    <w:p w14:paraId="49722755" w14:textId="788FC0FD" w:rsidR="00185AC3" w:rsidRDefault="00185AC3" w:rsidP="00185AC3">
      <w:pPr>
        <w:pStyle w:val="FootnoteText"/>
      </w:pPr>
      <w:r>
        <w:rPr>
          <w:rStyle w:val="FootnoteReference"/>
        </w:rPr>
        <w:footnoteRef/>
      </w:r>
      <w:r>
        <w:t xml:space="preserve"> </w:t>
      </w:r>
      <w:r w:rsidR="00805139">
        <w:t>C</w:t>
      </w:r>
      <w:r w:rsidR="00BD21BE">
        <w:t>ost recovery, which incorporates the DSB’s financial sustainability margin, include</w:t>
      </w:r>
      <w:r w:rsidR="00F72398">
        <w:t>s</w:t>
      </w:r>
      <w:r w:rsidR="00BD21BE">
        <w:t xml:space="preserve"> both recurring costs such as technology &amp; operations, management, </w:t>
      </w:r>
      <w:proofErr w:type="gramStart"/>
      <w:r w:rsidR="00BD21BE">
        <w:t>administration</w:t>
      </w:r>
      <w:proofErr w:type="gramEnd"/>
      <w:r w:rsidR="00BD21BE">
        <w:t xml:space="preserve"> and external consultants as well as time-limited costs such as </w:t>
      </w:r>
      <w:r w:rsidR="008401A2">
        <w:t xml:space="preserve">amortisation </w:t>
      </w:r>
      <w:r w:rsidR="00BD21BE">
        <w:t>of the build costs.</w:t>
      </w:r>
    </w:p>
  </w:footnote>
  <w:footnote w:id="28">
    <w:p w14:paraId="3B5BBF52" w14:textId="77777777" w:rsidR="00185AC3" w:rsidRPr="000D1AFA" w:rsidRDefault="00185AC3" w:rsidP="00185AC3">
      <w:pPr>
        <w:pStyle w:val="FootnoteText"/>
      </w:pPr>
      <w:r>
        <w:rPr>
          <w:rStyle w:val="FootnoteReference"/>
        </w:rPr>
        <w:footnoteRef/>
      </w:r>
      <w:r>
        <w:t xml:space="preserve"> </w:t>
      </w:r>
      <w:r w:rsidRPr="00CE0123">
        <w:t>Markets in Financial Instruments Directive (MiFID)</w:t>
      </w:r>
    </w:p>
  </w:footnote>
  <w:footnote w:id="29">
    <w:p w14:paraId="49C785A7" w14:textId="77777777" w:rsidR="00185AC3" w:rsidRPr="00624BD5" w:rsidRDefault="00185AC3" w:rsidP="00185AC3">
      <w:pPr>
        <w:pStyle w:val="FootnoteText"/>
      </w:pPr>
      <w:r>
        <w:rPr>
          <w:rStyle w:val="FootnoteReference"/>
        </w:rPr>
        <w:footnoteRef/>
      </w:r>
      <w:r>
        <w:t xml:space="preserve"> </w:t>
      </w:r>
      <w:r w:rsidRPr="00624BD5">
        <w:t>Markets in Financial Instruments (MiFIR)</w:t>
      </w:r>
      <w:r>
        <w:t xml:space="preserve"> </w:t>
      </w:r>
    </w:p>
  </w:footnote>
  <w:footnote w:id="30">
    <w:p w14:paraId="2355FF8A" w14:textId="54812DAD" w:rsidR="003347E0" w:rsidRDefault="003347E0">
      <w:pPr>
        <w:pStyle w:val="FootnoteText"/>
      </w:pPr>
      <w:r>
        <w:rPr>
          <w:rStyle w:val="FootnoteReference"/>
        </w:rPr>
        <w:footnoteRef/>
      </w:r>
      <w:r>
        <w:t xml:space="preserve"> </w:t>
      </w:r>
      <w:r w:rsidR="000C0630" w:rsidRPr="000C0630">
        <w:t>https://www.anna-dsb.com/upi-fee-model-consultation-2021/</w:t>
      </w:r>
    </w:p>
  </w:footnote>
  <w:footnote w:id="31">
    <w:p w14:paraId="3CF9C087" w14:textId="42F2B059" w:rsidR="000A5961" w:rsidRPr="000A5961" w:rsidRDefault="000A5961">
      <w:pPr>
        <w:pStyle w:val="FootnoteText"/>
      </w:pPr>
      <w:r>
        <w:rPr>
          <w:rStyle w:val="FootnoteReference"/>
        </w:rPr>
        <w:footnoteRef/>
      </w:r>
      <w:r>
        <w:t xml:space="preserve"> </w:t>
      </w:r>
      <w:r w:rsidR="00C77025">
        <w:t>For UPI users, t</w:t>
      </w:r>
      <w:r w:rsidR="002E2C3F" w:rsidRPr="002E2C3F">
        <w:t xml:space="preserve">he fees to be charged for the differing categories of users will be the subject of a subsequent consultation. The DSB’s charges policies for its existing service </w:t>
      </w:r>
      <w:r w:rsidR="008876EA">
        <w:t>illustrates</w:t>
      </w:r>
      <w:r w:rsidR="002E2C3F" w:rsidRPr="002E2C3F">
        <w:t xml:space="preserve"> how the existing service recovers costs across the differing user categories: https://www.anna-dsb.com/download/dsb-charges-policy</w:t>
      </w:r>
      <w:r w:rsidR="00A70191" w:rsidRPr="00A70191">
        <w:t>_v5_2021_final/</w:t>
      </w:r>
      <w:r w:rsidR="002E2C3F" w:rsidRPr="002E2C3F">
        <w:t>. The actual fee values are shown here: https://www.anna-dsb.com/fees-rules-</w:t>
      </w:r>
      <w:r w:rsidR="009651EF" w:rsidRPr="009651EF">
        <w:t>2021/</w:t>
      </w:r>
    </w:p>
  </w:footnote>
  <w:footnote w:id="32">
    <w:p w14:paraId="065F41D8" w14:textId="77777777" w:rsidR="00185AC3" w:rsidRPr="003F5F8A" w:rsidRDefault="00185AC3" w:rsidP="00185AC3">
      <w:pPr>
        <w:pStyle w:val="FootnoteText"/>
      </w:pPr>
      <w:r>
        <w:rPr>
          <w:rStyle w:val="FootnoteReference"/>
        </w:rPr>
        <w:footnoteRef/>
      </w:r>
      <w:r w:rsidRPr="003F5F8A">
        <w:t xml:space="preserve"> </w:t>
      </w:r>
      <w:r>
        <w:t xml:space="preserve">Following user </w:t>
      </w:r>
      <w:proofErr w:type="gramStart"/>
      <w:r>
        <w:t>consultation</w:t>
      </w:r>
      <w:proofErr w:type="gramEnd"/>
      <w:r>
        <w:t xml:space="preserve"> the DSB has implemented a model where up to 5 results are returned in response to a search by Registered Users and Infrequent Users when using the DSB’s web-interface, and the full compendium of search results are returned to other types of DSB users. Note that all DSB users </w:t>
      </w:r>
      <w:proofErr w:type="gramStart"/>
      <w:r>
        <w:t>are able to</w:t>
      </w:r>
      <w:proofErr w:type="gramEnd"/>
      <w:r>
        <w:t xml:space="preserve"> access the full suite of DSB data by downloading the free to use files and subsequently utilizing the data in the users’ own systems. </w:t>
      </w:r>
    </w:p>
  </w:footnote>
  <w:footnote w:id="33">
    <w:p w14:paraId="585F595A" w14:textId="0E32F051" w:rsidR="001A2D6F" w:rsidRPr="00DE4976" w:rsidRDefault="001A2D6F">
      <w:pPr>
        <w:pStyle w:val="FootnoteText"/>
      </w:pPr>
      <w:r>
        <w:rPr>
          <w:rStyle w:val="FootnoteReference"/>
        </w:rPr>
        <w:footnoteRef/>
      </w:r>
      <w:r>
        <w:t xml:space="preserve"> </w:t>
      </w:r>
      <w:hyperlink r:id="rId20" w:history="1">
        <w:r w:rsidRPr="008C31FF">
          <w:rPr>
            <w:rStyle w:val="Hyperlink"/>
          </w:rPr>
          <w:t>https://www.anna-dsb.com/download/2021-industry-consultation-paper/</w:t>
        </w:r>
      </w:hyperlink>
      <w:r>
        <w:t xml:space="preserve"> </w:t>
      </w:r>
    </w:p>
  </w:footnote>
  <w:footnote w:id="34">
    <w:p w14:paraId="0F6DBDB5" w14:textId="77777777" w:rsidR="00185AC3" w:rsidRPr="003F5F8A" w:rsidRDefault="00185AC3" w:rsidP="00185AC3">
      <w:pPr>
        <w:pStyle w:val="FootnoteText"/>
      </w:pPr>
      <w:r>
        <w:rPr>
          <w:rStyle w:val="FootnoteReference"/>
        </w:rPr>
        <w:footnoteRef/>
      </w:r>
      <w:r w:rsidRPr="003F5F8A">
        <w:t xml:space="preserve"> </w:t>
      </w:r>
      <w:hyperlink r:id="rId21" w:history="1">
        <w:r w:rsidRPr="003F5F8A">
          <w:rPr>
            <w:rStyle w:val="Hyperlink"/>
          </w:rPr>
          <w:t>https://www.anna-dsb.com/2020/04/27/so-whats-in-the-cfi-upi-and-otc-isin/</w:t>
        </w:r>
      </w:hyperlink>
      <w:r w:rsidRPr="003F5F8A">
        <w:t xml:space="preserve"> </w:t>
      </w:r>
    </w:p>
  </w:footnote>
  <w:footnote w:id="35">
    <w:p w14:paraId="0013921D" w14:textId="77777777" w:rsidR="00185AC3" w:rsidRPr="00F07209" w:rsidRDefault="00185AC3" w:rsidP="00185AC3">
      <w:pPr>
        <w:pStyle w:val="FootnoteText"/>
      </w:pPr>
      <w:r>
        <w:rPr>
          <w:rStyle w:val="FootnoteReference"/>
        </w:rPr>
        <w:footnoteRef/>
      </w:r>
      <w:r>
        <w:t xml:space="preserve"> </w:t>
      </w:r>
      <w:hyperlink r:id="rId22" w:history="1">
        <w:r w:rsidRPr="005B1E2B">
          <w:rPr>
            <w:rStyle w:val="Hyperlink"/>
          </w:rPr>
          <w:t>https://www.anna-dsb.com/upi-qa/</w:t>
        </w:r>
      </w:hyperlink>
      <w:r>
        <w:t xml:space="preserve"> </w:t>
      </w:r>
    </w:p>
  </w:footnote>
  <w:footnote w:id="36">
    <w:p w14:paraId="09D90F59" w14:textId="2F2F327D" w:rsidR="00185AC3" w:rsidRDefault="00185AC3" w:rsidP="00185AC3">
      <w:pPr>
        <w:pStyle w:val="FootnoteText"/>
      </w:pPr>
      <w:r>
        <w:rPr>
          <w:rStyle w:val="FootnoteReference"/>
        </w:rPr>
        <w:footnoteRef/>
      </w:r>
      <w:r>
        <w:t xml:space="preserve"> A product template is the definition of the OTC derivative </w:t>
      </w:r>
      <w:r w:rsidR="00F06D13">
        <w:t>identifier and</w:t>
      </w:r>
      <w:r>
        <w:t xml:space="preserve"> contains the list of input and derived fields agreed by the DSB PC as being the most appropriate and consistent description of the instrument or product being identified. </w:t>
      </w:r>
    </w:p>
  </w:footnote>
  <w:footnote w:id="37">
    <w:p w14:paraId="672E6E45" w14:textId="62C8AE71" w:rsidR="00185AC3" w:rsidRDefault="00185AC3" w:rsidP="00185AC3">
      <w:pPr>
        <w:pStyle w:val="FootnoteText"/>
      </w:pPr>
      <w:r>
        <w:rPr>
          <w:rStyle w:val="FootnoteReference"/>
        </w:rPr>
        <w:footnoteRef/>
      </w:r>
      <w:r>
        <w:t xml:space="preserve"> Such occurrences arise because </w:t>
      </w:r>
      <w:r w:rsidR="00162DEB">
        <w:t>of</w:t>
      </w:r>
      <w:r>
        <w:t xml:space="preserve"> the higher granularity of OTC ISIN compared to the UPI due to the additional data elements that define the OTC ISIN including, but not limited to, the tenor and expiry date. </w:t>
      </w:r>
    </w:p>
  </w:footnote>
  <w:footnote w:id="38">
    <w:p w14:paraId="7B49499D" w14:textId="77777777" w:rsidR="00185AC3" w:rsidRPr="00DC74B6" w:rsidRDefault="00185AC3" w:rsidP="00185AC3">
      <w:pPr>
        <w:pStyle w:val="FootnoteText"/>
      </w:pPr>
      <w:r>
        <w:rPr>
          <w:rStyle w:val="FootnoteReference"/>
        </w:rPr>
        <w:footnoteRef/>
      </w:r>
      <w:r>
        <w:t xml:space="preserve"> </w:t>
      </w:r>
      <w:hyperlink r:id="rId23" w:history="1">
        <w:r w:rsidRPr="00ED0C4F">
          <w:rPr>
            <w:rStyle w:val="Hyperlink"/>
          </w:rPr>
          <w:t>https://www.esma.europa.eu/press-news/esma-news/esma-consults-technical-standards-trade-repositories-under-emir-refit</w:t>
        </w:r>
      </w:hyperlink>
      <w:r>
        <w:t xml:space="preserve"> </w:t>
      </w:r>
    </w:p>
  </w:footnote>
  <w:footnote w:id="39">
    <w:p w14:paraId="459A0006" w14:textId="77777777" w:rsidR="00185AC3" w:rsidRPr="00EC78BE" w:rsidRDefault="00185AC3" w:rsidP="00185AC3">
      <w:pPr>
        <w:pStyle w:val="FootnoteText"/>
      </w:pPr>
      <w:r>
        <w:rPr>
          <w:rStyle w:val="FootnoteReference"/>
        </w:rPr>
        <w:footnoteRef/>
      </w:r>
      <w:r>
        <w:t xml:space="preserve"> </w:t>
      </w:r>
      <w:r w:rsidRPr="00EC78BE">
        <w:t>European Market Infrastructure Regulation</w:t>
      </w:r>
      <w:r>
        <w:t xml:space="preserve"> (EMIR)</w:t>
      </w:r>
    </w:p>
  </w:footnote>
  <w:footnote w:id="40">
    <w:p w14:paraId="3FFFC6EA" w14:textId="77777777" w:rsidR="00185AC3" w:rsidRPr="001559C4" w:rsidRDefault="00185AC3" w:rsidP="00185AC3">
      <w:pPr>
        <w:pStyle w:val="FootnoteText"/>
      </w:pPr>
      <w:r>
        <w:rPr>
          <w:rStyle w:val="FootnoteReference"/>
        </w:rPr>
        <w:footnoteRef/>
      </w:r>
      <w:r>
        <w:t xml:space="preserve"> </w:t>
      </w:r>
      <w:hyperlink r:id="rId24" w:history="1">
        <w:r w:rsidRPr="005B1E2B">
          <w:rPr>
            <w:rStyle w:val="Hyperlink"/>
          </w:rPr>
          <w:t>https://www.esma.europa.eu/press-news/esma-news/esma-consults-mifir-reference-data-and-transaction-reporting</w:t>
        </w:r>
      </w:hyperlink>
      <w:r>
        <w:t xml:space="preserve"> </w:t>
      </w:r>
    </w:p>
  </w:footnote>
  <w:footnote w:id="41">
    <w:p w14:paraId="527EC597" w14:textId="47D8FD8A" w:rsidR="00185AC3" w:rsidRDefault="00185AC3" w:rsidP="00185AC3">
      <w:pPr>
        <w:pStyle w:val="FootnoteText"/>
      </w:pPr>
      <w:r>
        <w:rPr>
          <w:rStyle w:val="FootnoteReference"/>
        </w:rPr>
        <w:footnoteRef/>
      </w:r>
      <w:r>
        <w:t xml:space="preserve"> </w:t>
      </w:r>
      <w:r w:rsidR="00B4001A">
        <w:t>Traded on a Trading Venue (ToTV) and underlying Traded on a Trading Venue (uToTV) a</w:t>
      </w:r>
      <w:r>
        <w:t xml:space="preserve">s defined by MiFID and MiFIR </w:t>
      </w:r>
    </w:p>
  </w:footnote>
  <w:footnote w:id="42">
    <w:p w14:paraId="646F0FBD" w14:textId="6A8384D3" w:rsidR="00185AC3" w:rsidRDefault="00185AC3" w:rsidP="00185AC3">
      <w:pPr>
        <w:pStyle w:val="FootnoteText"/>
      </w:pPr>
      <w:r>
        <w:rPr>
          <w:rStyle w:val="FootnoteReference"/>
        </w:rPr>
        <w:footnoteRef/>
      </w:r>
      <w:r>
        <w:t xml:space="preserve"> Subject to the terms set out in the DSB Access and Usage Agreement and accompanying policies</w:t>
      </w:r>
      <w:r w:rsidR="004E111C">
        <w:t xml:space="preserve"> - </w:t>
      </w:r>
      <w:r w:rsidR="004E111C" w:rsidRPr="004E111C">
        <w:t>https://www.anna-dsb.com/download/dsb-2021-ua-policies-final/</w:t>
      </w:r>
      <w:r>
        <w:t xml:space="preserve"> </w:t>
      </w:r>
    </w:p>
  </w:footnote>
  <w:footnote w:id="43">
    <w:p w14:paraId="79B90C93" w14:textId="501686B7" w:rsidR="00E25822" w:rsidRPr="00E25822" w:rsidRDefault="00E25822">
      <w:pPr>
        <w:pStyle w:val="FootnoteText"/>
      </w:pPr>
      <w:r>
        <w:rPr>
          <w:rStyle w:val="FootnoteReference"/>
        </w:rPr>
        <w:footnoteRef/>
      </w:r>
      <w:r>
        <w:t xml:space="preserve"> Another </w:t>
      </w:r>
      <w:r w:rsidR="00DC68A2">
        <w:t>factor that may affect</w:t>
      </w:r>
      <w:r w:rsidR="007F34BD">
        <w:t xml:space="preserve"> the </w:t>
      </w:r>
      <w:r w:rsidR="00AC73E7">
        <w:t xml:space="preserve">proportion of </w:t>
      </w:r>
      <w:r w:rsidR="007F34BD">
        <w:t xml:space="preserve">free </w:t>
      </w:r>
      <w:r w:rsidR="00AC73E7">
        <w:t xml:space="preserve">vs paying </w:t>
      </w:r>
      <w:r w:rsidR="00FF03B9">
        <w:t xml:space="preserve">users for the UPI </w:t>
      </w:r>
      <w:r w:rsidR="007F34BD">
        <w:t>service</w:t>
      </w:r>
      <w:r w:rsidR="00FF03B9">
        <w:t xml:space="preserve"> in its first few years </w:t>
      </w:r>
      <w:r w:rsidR="00927B4C">
        <w:t xml:space="preserve">of operation </w:t>
      </w:r>
      <w:r w:rsidR="00FF03B9">
        <w:t xml:space="preserve">is </w:t>
      </w:r>
      <w:proofErr w:type="gramStart"/>
      <w:r w:rsidR="00FF03B9">
        <w:t xml:space="preserve">whether </w:t>
      </w:r>
      <w:r w:rsidR="00B24A19">
        <w:t>or not</w:t>
      </w:r>
      <w:proofErr w:type="gramEnd"/>
      <w:r w:rsidR="00B24A19">
        <w:t xml:space="preserve"> </w:t>
      </w:r>
      <w:r w:rsidR="00FF03B9">
        <w:t>the DSB</w:t>
      </w:r>
      <w:r w:rsidR="00B24A19">
        <w:t xml:space="preserve"> pre-populates the UPI Reference Data Library from product definitions held in its OTC ISIN service. </w:t>
      </w:r>
      <w:r w:rsidR="00B01704">
        <w:t>A pre-populated RDL may increase the proportion of free users as all th</w:t>
      </w:r>
      <w:r w:rsidR="00043E80">
        <w:t>e pre-populated</w:t>
      </w:r>
      <w:r w:rsidR="00B01704">
        <w:t xml:space="preserve"> data will be available for download at no charge</w:t>
      </w:r>
      <w:r w:rsidR="00D67C6C">
        <w:t xml:space="preserve"> on day 1</w:t>
      </w:r>
      <w:r w:rsidR="00E24669">
        <w:t xml:space="preserve"> of the service</w:t>
      </w:r>
      <w:r w:rsidR="00B01704">
        <w:t>.</w:t>
      </w:r>
      <w:r w:rsidR="000440E5">
        <w:t xml:space="preserve"> The DSB </w:t>
      </w:r>
      <w:r w:rsidR="00EE3233">
        <w:t>will examine this question in its second fee model consultation later in 2021.</w:t>
      </w:r>
    </w:p>
  </w:footnote>
  <w:footnote w:id="44">
    <w:p w14:paraId="1682254A" w14:textId="10725C93" w:rsidR="004C3128" w:rsidRPr="004C3128" w:rsidRDefault="004C3128">
      <w:pPr>
        <w:pStyle w:val="FootnoteText"/>
      </w:pPr>
      <w:r>
        <w:rPr>
          <w:rStyle w:val="FootnoteReference"/>
        </w:rPr>
        <w:footnoteRef/>
      </w:r>
      <w:r>
        <w:t xml:space="preserve"> </w:t>
      </w:r>
      <w:r w:rsidR="00B169B5">
        <w:t xml:space="preserve">The DSB is proposing a </w:t>
      </w:r>
      <w:proofErr w:type="gramStart"/>
      <w:r w:rsidR="00B169B5">
        <w:t>4 year</w:t>
      </w:r>
      <w:proofErr w:type="gramEnd"/>
      <w:r w:rsidR="00B169B5">
        <w:t xml:space="preserve"> amortisation period for the UPI capex as explained in </w:t>
      </w:r>
      <w:r w:rsidR="00B169B5">
        <w:fldChar w:fldCharType="begin"/>
      </w:r>
      <w:r w:rsidR="00B169B5">
        <w:instrText xml:space="preserve"> REF _Ref57553191 \r \h </w:instrText>
      </w:r>
      <w:r w:rsidR="00B169B5">
        <w:fldChar w:fldCharType="separate"/>
      </w:r>
      <w:r w:rsidR="008F4225">
        <w:t>5.8</w:t>
      </w:r>
      <w:r w:rsidR="00B169B5">
        <w:fldChar w:fldCharType="end"/>
      </w:r>
      <w:r w:rsidR="00B169B5">
        <w:t xml:space="preserve"> </w:t>
      </w:r>
      <w:r w:rsidR="00B169B5">
        <w:fldChar w:fldCharType="begin"/>
      </w:r>
      <w:r w:rsidR="00B169B5">
        <w:instrText xml:space="preserve"> REF _Ref57553191 \h </w:instrText>
      </w:r>
      <w:r w:rsidR="00B169B5">
        <w:fldChar w:fldCharType="separate"/>
      </w:r>
      <w:r w:rsidR="00E45CFD">
        <w:t>Q8 – Capital Expenditure Amortisation Approach</w:t>
      </w:r>
      <w:r w:rsidR="00B169B5">
        <w:fldChar w:fldCharType="end"/>
      </w:r>
      <w:r w:rsidR="00B169B5">
        <w:t xml:space="preserve">. This means the </w:t>
      </w:r>
      <w:proofErr w:type="spellStart"/>
      <w:r w:rsidR="00B169B5">
        <w:t>amoritisation</w:t>
      </w:r>
      <w:proofErr w:type="spellEnd"/>
      <w:r w:rsidR="00B169B5">
        <w:t xml:space="preserve"> will occur in the years 2023-202</w:t>
      </w:r>
      <w:r w:rsidR="006421A7">
        <w:t>6</w:t>
      </w:r>
      <w:r w:rsidR="00E665E4">
        <w:t>.</w:t>
      </w:r>
    </w:p>
  </w:footnote>
  <w:footnote w:id="45">
    <w:p w14:paraId="12855E8C" w14:textId="346FAE5B" w:rsidR="0074175A" w:rsidRPr="0074175A" w:rsidRDefault="0074175A">
      <w:pPr>
        <w:pStyle w:val="FootnoteText"/>
      </w:pPr>
      <w:r>
        <w:rPr>
          <w:rStyle w:val="FootnoteReference"/>
        </w:rPr>
        <w:footnoteRef/>
      </w:r>
      <w:r>
        <w:t xml:space="preserve"> </w:t>
      </w:r>
      <w:r w:rsidR="002C14B4">
        <w:t>Such shared costs are the result of t</w:t>
      </w:r>
      <w:r w:rsidR="002C14B4" w:rsidRPr="49B21B84">
        <w:rPr>
          <w:rStyle w:val="normaltextrun"/>
          <w:rFonts w:ascii="Calibri" w:hAnsi="Calibri" w:cs="Calibri"/>
          <w:color w:val="000000" w:themeColor="text1"/>
        </w:rPr>
        <w:t xml:space="preserve">he DSB creating a UPI build and operate model that leverages the DSB models from </w:t>
      </w:r>
      <w:r w:rsidR="002C14B4">
        <w:rPr>
          <w:rStyle w:val="normaltextrun"/>
          <w:rFonts w:ascii="Calibri" w:hAnsi="Calibri" w:cs="Calibri"/>
          <w:color w:val="000000" w:themeColor="text1"/>
        </w:rPr>
        <w:t xml:space="preserve">its existing </w:t>
      </w:r>
      <w:r w:rsidR="002C14B4" w:rsidRPr="49B21B84">
        <w:rPr>
          <w:rStyle w:val="normaltextrun"/>
          <w:rFonts w:ascii="Calibri" w:hAnsi="Calibri" w:cs="Calibri"/>
          <w:color w:val="000000" w:themeColor="text1"/>
        </w:rPr>
        <w:t>service</w:t>
      </w:r>
      <w:r w:rsidR="002C14B4">
        <w:rPr>
          <w:rStyle w:val="normaltextrun"/>
          <w:rFonts w:ascii="Calibri" w:hAnsi="Calibri" w:cs="Calibri"/>
          <w:color w:val="000000" w:themeColor="text1"/>
        </w:rPr>
        <w:t>s</w:t>
      </w:r>
      <w:r w:rsidR="002C14B4" w:rsidRPr="49B21B84">
        <w:rPr>
          <w:rStyle w:val="normaltextrun"/>
          <w:rFonts w:ascii="Calibri" w:hAnsi="Calibri" w:cs="Calibri"/>
          <w:color w:val="000000" w:themeColor="text1"/>
        </w:rPr>
        <w:t xml:space="preserve"> wherever appropriate. </w:t>
      </w:r>
      <w:r w:rsidR="002C14B4" w:rsidRPr="00C9134F">
        <w:rPr>
          <w:rStyle w:val="normaltextrun"/>
          <w:rFonts w:ascii="Calibri" w:hAnsi="Calibri" w:cs="Calibri"/>
          <w:color w:val="000000" w:themeColor="text1"/>
        </w:rPr>
        <w:t>This re-use will result in shared costs between the UPI services and the DSB’s existing services</w:t>
      </w:r>
      <w:r w:rsidR="002C14B4">
        <w:rPr>
          <w:rStyle w:val="normaltextrun"/>
          <w:rFonts w:ascii="Calibri" w:hAnsi="Calibri" w:cs="Calibri"/>
          <w:color w:val="000000" w:themeColor="text1"/>
        </w:rPr>
        <w:t>.</w:t>
      </w:r>
    </w:p>
  </w:footnote>
  <w:footnote w:id="46">
    <w:p w14:paraId="13BBB65B" w14:textId="77777777" w:rsidR="00185AC3" w:rsidRPr="00FD4ADE" w:rsidRDefault="00185AC3" w:rsidP="00185AC3">
      <w:pPr>
        <w:pStyle w:val="FootnoteText"/>
      </w:pPr>
      <w:r>
        <w:rPr>
          <w:rStyle w:val="FootnoteReference"/>
        </w:rPr>
        <w:footnoteRef/>
      </w:r>
      <w:r w:rsidRPr="00FD4ADE">
        <w:t xml:space="preserve"> Application Pr</w:t>
      </w:r>
      <w:r w:rsidRPr="005B727B">
        <w:t xml:space="preserve">ogramming Interface – </w:t>
      </w:r>
      <w:proofErr w:type="gramStart"/>
      <w:r w:rsidRPr="005B727B">
        <w:t>i</w:t>
      </w:r>
      <w:r>
        <w:t>.</w:t>
      </w:r>
      <w:r w:rsidRPr="005B727B">
        <w:t>e</w:t>
      </w:r>
      <w:r>
        <w:t>.</w:t>
      </w:r>
      <w:proofErr w:type="gramEnd"/>
      <w:r w:rsidRPr="005B727B">
        <w:t xml:space="preserve"> users wi</w:t>
      </w:r>
      <w:r>
        <w:t>th automated access to the DSB’s real-time services</w:t>
      </w:r>
    </w:p>
  </w:footnote>
  <w:footnote w:id="47">
    <w:p w14:paraId="234F7BBB" w14:textId="77777777" w:rsidR="00185AC3" w:rsidRPr="005B727B" w:rsidRDefault="00185AC3" w:rsidP="00185AC3">
      <w:pPr>
        <w:pStyle w:val="FootnoteText"/>
      </w:pPr>
      <w:r>
        <w:rPr>
          <w:rStyle w:val="FootnoteReference"/>
        </w:rPr>
        <w:footnoteRef/>
      </w:r>
      <w:r w:rsidRPr="00FD4ADE">
        <w:t xml:space="preserve"> </w:t>
      </w:r>
      <w:r>
        <w:t>See footnote 9</w:t>
      </w:r>
    </w:p>
  </w:footnote>
  <w:footnote w:id="48">
    <w:p w14:paraId="61BEB3D7" w14:textId="2B3B0827" w:rsidR="000631BB" w:rsidRPr="009E0A5E" w:rsidRDefault="000631BB">
      <w:pPr>
        <w:pStyle w:val="FootnoteText"/>
        <w:rPr>
          <w:lang w:val="en-US"/>
        </w:rPr>
      </w:pPr>
      <w:r>
        <w:rPr>
          <w:rStyle w:val="FootnoteReference"/>
        </w:rPr>
        <w:footnoteRef/>
      </w:r>
      <w:r>
        <w:t xml:space="preserve"> </w:t>
      </w:r>
      <w:r>
        <w:rPr>
          <w:lang w:val="en-US"/>
        </w:rPr>
        <w:t xml:space="preserve">See footnote </w:t>
      </w:r>
      <w:r w:rsidR="00CE3742">
        <w:rPr>
          <w:lang w:val="en-US"/>
        </w:rPr>
        <w:fldChar w:fldCharType="begin"/>
      </w:r>
      <w:r w:rsidR="00CE3742">
        <w:rPr>
          <w:lang w:val="en-US"/>
        </w:rPr>
        <w:instrText xml:space="preserve"> NOTEREF _Ref60844628 \h </w:instrText>
      </w:r>
      <w:r w:rsidR="00CE3742">
        <w:rPr>
          <w:lang w:val="en-US"/>
        </w:rPr>
      </w:r>
      <w:r w:rsidR="00CE3742">
        <w:rPr>
          <w:lang w:val="en-US"/>
        </w:rPr>
        <w:fldChar w:fldCharType="separate"/>
      </w:r>
      <w:r w:rsidR="00CE3742">
        <w:rPr>
          <w:lang w:val="en-US"/>
        </w:rPr>
        <w:t>29</w:t>
      </w:r>
      <w:r w:rsidR="00CE3742">
        <w:rPr>
          <w:lang w:val="en-US"/>
        </w:rPr>
        <w:fldChar w:fldCharType="end"/>
      </w:r>
    </w:p>
  </w:footnote>
  <w:footnote w:id="49">
    <w:p w14:paraId="131957C7" w14:textId="4043F663" w:rsidR="004C1F6B" w:rsidRPr="002D24AB" w:rsidRDefault="004C1F6B">
      <w:pPr>
        <w:pStyle w:val="FootnoteText"/>
        <w:rPr>
          <w:rFonts w:ascii="Calibri" w:hAnsi="Calibri" w:cs="Calibri"/>
          <w:lang w:val="en-US"/>
        </w:rPr>
      </w:pPr>
      <w:r>
        <w:rPr>
          <w:rStyle w:val="FootnoteReference"/>
        </w:rPr>
        <w:footnoteRef/>
      </w:r>
      <w:r>
        <w:t xml:space="preserve"> </w:t>
      </w:r>
      <w:hyperlink r:id="rId25" w:history="1">
        <w:r w:rsidR="00231207" w:rsidRPr="002D24AB">
          <w:rPr>
            <w:rStyle w:val="Hyperlink"/>
            <w:rFonts w:ascii="Calibri" w:hAnsi="Calibri" w:cs="Calibri"/>
            <w:color w:val="0096D6"/>
          </w:rPr>
          <w:t>https://anna-dsb-events.webex.com/anna-dsb-events/onstage/g.php?MTID=edbd6e1153a1ab0aaea0440c586e004f1</w:t>
        </w:r>
      </w:hyperlink>
      <w:r w:rsidR="009E45A6" w:rsidRPr="002D24AB">
        <w:rPr>
          <w:rFonts w:ascii="Calibri" w:hAnsi="Calibri" w:cs="Calibri"/>
          <w:color w:val="000000"/>
        </w:rPr>
        <w:t xml:space="preserve"> </w:t>
      </w:r>
      <w:r w:rsidR="004A7F9F" w:rsidRPr="002D24AB">
        <w:rPr>
          <w:rFonts w:ascii="Calibri" w:hAnsi="Calibri" w:cs="Calibri"/>
          <w:lang w:val="en-US"/>
        </w:rPr>
        <w:t>6am GMT, 5pm Sydney, 3pm Tokyo, 2pm Singapore/Hong Kong</w:t>
      </w:r>
    </w:p>
  </w:footnote>
  <w:footnote w:id="50">
    <w:p w14:paraId="78257483" w14:textId="46DBB26E" w:rsidR="004A7F9F" w:rsidRPr="00133419" w:rsidRDefault="004A7F9F" w:rsidP="00F6607D">
      <w:pPr>
        <w:rPr>
          <w:lang w:val="de-DE"/>
        </w:rPr>
      </w:pPr>
      <w:r w:rsidRPr="002D24AB">
        <w:rPr>
          <w:rStyle w:val="FootnoteReference"/>
          <w:rFonts w:ascii="Calibri" w:hAnsi="Calibri" w:cs="Calibri"/>
          <w:sz w:val="20"/>
          <w:szCs w:val="20"/>
        </w:rPr>
        <w:footnoteRef/>
      </w:r>
      <w:r w:rsidRPr="002D24AB">
        <w:rPr>
          <w:rFonts w:ascii="Calibri" w:hAnsi="Calibri" w:cs="Calibri"/>
          <w:sz w:val="20"/>
          <w:szCs w:val="20"/>
          <w:lang w:val="de-DE"/>
        </w:rPr>
        <w:t xml:space="preserve"> </w:t>
      </w:r>
      <w:hyperlink w:history="1"/>
      <w:hyperlink r:id="rId26" w:history="1">
        <w:r w:rsidR="00133419" w:rsidRPr="002D24AB">
          <w:rPr>
            <w:rFonts w:ascii="Calibri" w:hAnsi="Calibri" w:cs="Calibri"/>
            <w:color w:val="0096D6"/>
            <w:sz w:val="20"/>
            <w:szCs w:val="20"/>
            <w:u w:val="single"/>
            <w:lang w:val="de-DE"/>
          </w:rPr>
          <w:br/>
        </w:r>
        <w:r w:rsidR="00133419" w:rsidRPr="002D24AB">
          <w:rPr>
            <w:rStyle w:val="Hyperlink"/>
            <w:rFonts w:ascii="Calibri" w:hAnsi="Calibri" w:cs="Calibri"/>
            <w:color w:val="0096D6"/>
            <w:sz w:val="20"/>
            <w:szCs w:val="20"/>
            <w:lang w:val="de-DE"/>
          </w:rPr>
          <w:t>https://anna-dsb-events.webex.com/anna-dsb-events/onstage/g.php?MTID=e9f9f75c9ca5cc571460cd89d0e08c35b</w:t>
        </w:r>
      </w:hyperlink>
      <w:r w:rsidR="00133419" w:rsidRPr="002D24AB">
        <w:rPr>
          <w:rFonts w:ascii="Calibri" w:hAnsi="Calibri" w:cs="Calibri"/>
          <w:color w:val="000000"/>
          <w:sz w:val="20"/>
          <w:szCs w:val="20"/>
          <w:lang w:val="de-DE"/>
        </w:rPr>
        <w:t xml:space="preserve"> </w:t>
      </w:r>
      <w:r w:rsidR="00133419" w:rsidRPr="002D24AB">
        <w:rPr>
          <w:rFonts w:ascii="Calibri" w:hAnsi="Calibri" w:cs="Calibri"/>
          <w:sz w:val="20"/>
          <w:szCs w:val="20"/>
          <w:lang w:val="de-DE"/>
        </w:rPr>
        <w:t xml:space="preserve"> </w:t>
      </w:r>
      <w:r w:rsidRPr="002D24AB">
        <w:rPr>
          <w:rFonts w:ascii="Calibri" w:hAnsi="Calibri" w:cs="Calibri"/>
          <w:sz w:val="20"/>
          <w:szCs w:val="20"/>
          <w:lang w:val="de-DE"/>
        </w:rPr>
        <w:t>1pm GMT, 2pm CET, 8am EST</w:t>
      </w:r>
      <w:r w:rsidR="002561B8" w:rsidRPr="002D24AB">
        <w:rPr>
          <w:rFonts w:ascii="Calibri" w:hAnsi="Calibri" w:cs="Calibri"/>
          <w:sz w:val="20"/>
          <w:szCs w:val="20"/>
          <w:lang w:val="de-DE"/>
        </w:rPr>
        <w:t xml:space="preserve">, </w:t>
      </w:r>
      <w:r w:rsidR="0031190C" w:rsidRPr="002D24AB">
        <w:rPr>
          <w:rFonts w:ascii="Calibri" w:hAnsi="Calibri" w:cs="Calibri"/>
          <w:sz w:val="20"/>
          <w:szCs w:val="20"/>
          <w:lang w:val="de-DE"/>
        </w:rPr>
        <w:t xml:space="preserve">5am PST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C466DA" w14:paraId="42E97AE0" w14:textId="77777777" w:rsidTr="75828AE8">
      <w:tc>
        <w:tcPr>
          <w:tcW w:w="3009" w:type="dxa"/>
        </w:tcPr>
        <w:p w14:paraId="074C48D5" w14:textId="1AF889CB" w:rsidR="00C466DA" w:rsidRDefault="00C466DA" w:rsidP="75828AE8">
          <w:pPr>
            <w:pStyle w:val="Header"/>
            <w:ind w:left="-115"/>
          </w:pPr>
        </w:p>
      </w:tc>
      <w:tc>
        <w:tcPr>
          <w:tcW w:w="3009" w:type="dxa"/>
        </w:tcPr>
        <w:p w14:paraId="1492D279" w14:textId="77777777" w:rsidR="00C466DA" w:rsidRDefault="00C466DA" w:rsidP="75828AE8">
          <w:pPr>
            <w:pStyle w:val="Header"/>
            <w:jc w:val="center"/>
          </w:pPr>
        </w:p>
      </w:tc>
      <w:tc>
        <w:tcPr>
          <w:tcW w:w="3009" w:type="dxa"/>
        </w:tcPr>
        <w:p w14:paraId="5FA11D2F" w14:textId="77777777" w:rsidR="00C466DA" w:rsidRDefault="00C466DA" w:rsidP="75828AE8">
          <w:pPr>
            <w:pStyle w:val="Header"/>
            <w:ind w:right="-115"/>
            <w:jc w:val="right"/>
          </w:pPr>
        </w:p>
      </w:tc>
    </w:tr>
  </w:tbl>
  <w:p w14:paraId="121BC54F" w14:textId="45BDF79D" w:rsidR="00C466DA" w:rsidRDefault="00C466DA" w:rsidP="75828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C466DA" w14:paraId="7896829F" w14:textId="77777777" w:rsidTr="75828AE8">
      <w:tc>
        <w:tcPr>
          <w:tcW w:w="3009" w:type="dxa"/>
        </w:tcPr>
        <w:p w14:paraId="6859A3F3" w14:textId="5A4B842C" w:rsidR="00C466DA" w:rsidRDefault="00C466DA" w:rsidP="00E70C3E">
          <w:pPr>
            <w:pStyle w:val="Header"/>
            <w:ind w:left="-115" w:right="-498"/>
          </w:pPr>
        </w:p>
      </w:tc>
      <w:tc>
        <w:tcPr>
          <w:tcW w:w="3009" w:type="dxa"/>
        </w:tcPr>
        <w:p w14:paraId="51F38801" w14:textId="77777777" w:rsidR="00C466DA" w:rsidRDefault="00C466DA" w:rsidP="75828AE8">
          <w:pPr>
            <w:pStyle w:val="Header"/>
            <w:jc w:val="center"/>
          </w:pPr>
        </w:p>
      </w:tc>
      <w:tc>
        <w:tcPr>
          <w:tcW w:w="3009" w:type="dxa"/>
        </w:tcPr>
        <w:p w14:paraId="06B56954" w14:textId="77777777" w:rsidR="00C466DA" w:rsidRDefault="00C466DA" w:rsidP="75828AE8">
          <w:pPr>
            <w:pStyle w:val="Header"/>
            <w:ind w:right="-115"/>
            <w:jc w:val="right"/>
          </w:pPr>
        </w:p>
      </w:tc>
    </w:tr>
  </w:tbl>
  <w:p w14:paraId="411DF610" w14:textId="77777777" w:rsidR="00C466DA" w:rsidRDefault="00C466DA" w:rsidP="75828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5903"/>
    <w:multiLevelType w:val="multilevel"/>
    <w:tmpl w:val="F7122740"/>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183633"/>
    <w:multiLevelType w:val="hybridMultilevel"/>
    <w:tmpl w:val="909AD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A0358"/>
    <w:multiLevelType w:val="hybridMultilevel"/>
    <w:tmpl w:val="22E637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94A1A"/>
    <w:multiLevelType w:val="hybridMultilevel"/>
    <w:tmpl w:val="50BC8D4A"/>
    <w:lvl w:ilvl="0" w:tplc="D6D671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6B6E6D"/>
    <w:multiLevelType w:val="hybridMultilevel"/>
    <w:tmpl w:val="E7E84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E6731"/>
    <w:multiLevelType w:val="hybridMultilevel"/>
    <w:tmpl w:val="C26A0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D4E7F"/>
    <w:multiLevelType w:val="hybridMultilevel"/>
    <w:tmpl w:val="59DC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7846AF"/>
    <w:multiLevelType w:val="hybridMultilevel"/>
    <w:tmpl w:val="DFCC528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E5359"/>
    <w:multiLevelType w:val="hybridMultilevel"/>
    <w:tmpl w:val="119AB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0A228E"/>
    <w:multiLevelType w:val="hybridMultilevel"/>
    <w:tmpl w:val="AD2CF2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7732D"/>
    <w:multiLevelType w:val="hybridMultilevel"/>
    <w:tmpl w:val="2E20F7FE"/>
    <w:lvl w:ilvl="0" w:tplc="2CA88F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13ED6"/>
    <w:multiLevelType w:val="hybridMultilevel"/>
    <w:tmpl w:val="C3DEC1C4"/>
    <w:lvl w:ilvl="0" w:tplc="FB8E1A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36628"/>
    <w:multiLevelType w:val="hybridMultilevel"/>
    <w:tmpl w:val="44D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575AF"/>
    <w:multiLevelType w:val="hybridMultilevel"/>
    <w:tmpl w:val="2CFE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60583"/>
    <w:multiLevelType w:val="hybridMultilevel"/>
    <w:tmpl w:val="EB580F2E"/>
    <w:lvl w:ilvl="0" w:tplc="96023190">
      <w:start w:val="2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8E434E"/>
    <w:multiLevelType w:val="hybridMultilevel"/>
    <w:tmpl w:val="89DC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E065E7"/>
    <w:multiLevelType w:val="hybridMultilevel"/>
    <w:tmpl w:val="7CBE1586"/>
    <w:lvl w:ilvl="0" w:tplc="A28C3D0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6"/>
  </w:num>
  <w:num w:numId="5">
    <w:abstractNumId w:val="7"/>
  </w:num>
  <w:num w:numId="6">
    <w:abstractNumId w:val="14"/>
  </w:num>
  <w:num w:numId="7">
    <w:abstractNumId w:val="1"/>
  </w:num>
  <w:num w:numId="8">
    <w:abstractNumId w:val="13"/>
  </w:num>
  <w:num w:numId="9">
    <w:abstractNumId w:val="9"/>
  </w:num>
  <w:num w:numId="10">
    <w:abstractNumId w:val="5"/>
  </w:num>
  <w:num w:numId="11">
    <w:abstractNumId w:val="4"/>
  </w:num>
  <w:num w:numId="12">
    <w:abstractNumId w:val="3"/>
  </w:num>
  <w:num w:numId="13">
    <w:abstractNumId w:val="8"/>
  </w:num>
  <w:num w:numId="14">
    <w:abstractNumId w:val="15"/>
  </w:num>
  <w:num w:numId="15">
    <w:abstractNumId w:val="11"/>
  </w:num>
  <w:num w:numId="16">
    <w:abstractNumId w:val="2"/>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98"/>
    <w:rsid w:val="00000138"/>
    <w:rsid w:val="000001A8"/>
    <w:rsid w:val="00000370"/>
    <w:rsid w:val="000005EF"/>
    <w:rsid w:val="000007B8"/>
    <w:rsid w:val="000007CC"/>
    <w:rsid w:val="00000BE0"/>
    <w:rsid w:val="00000F23"/>
    <w:rsid w:val="00000F72"/>
    <w:rsid w:val="0000108E"/>
    <w:rsid w:val="0000110E"/>
    <w:rsid w:val="00001B23"/>
    <w:rsid w:val="0000221D"/>
    <w:rsid w:val="000023F0"/>
    <w:rsid w:val="0000263E"/>
    <w:rsid w:val="0000267C"/>
    <w:rsid w:val="00002802"/>
    <w:rsid w:val="00003769"/>
    <w:rsid w:val="00003892"/>
    <w:rsid w:val="000038FB"/>
    <w:rsid w:val="000039D6"/>
    <w:rsid w:val="00003AB5"/>
    <w:rsid w:val="00003BC1"/>
    <w:rsid w:val="00003D99"/>
    <w:rsid w:val="00003DC6"/>
    <w:rsid w:val="000040A0"/>
    <w:rsid w:val="0000426C"/>
    <w:rsid w:val="000043A0"/>
    <w:rsid w:val="000046DC"/>
    <w:rsid w:val="00004E0C"/>
    <w:rsid w:val="000051B1"/>
    <w:rsid w:val="00005390"/>
    <w:rsid w:val="00005450"/>
    <w:rsid w:val="000055CC"/>
    <w:rsid w:val="000059BD"/>
    <w:rsid w:val="00005CAE"/>
    <w:rsid w:val="00005E57"/>
    <w:rsid w:val="00005EBA"/>
    <w:rsid w:val="00005F74"/>
    <w:rsid w:val="00006145"/>
    <w:rsid w:val="00006161"/>
    <w:rsid w:val="0000655B"/>
    <w:rsid w:val="0000684F"/>
    <w:rsid w:val="00006FCE"/>
    <w:rsid w:val="0000717F"/>
    <w:rsid w:val="00007991"/>
    <w:rsid w:val="00007C71"/>
    <w:rsid w:val="00007CE1"/>
    <w:rsid w:val="00007D06"/>
    <w:rsid w:val="00007F74"/>
    <w:rsid w:val="0001027F"/>
    <w:rsid w:val="000103EB"/>
    <w:rsid w:val="0001079A"/>
    <w:rsid w:val="00010801"/>
    <w:rsid w:val="00010E86"/>
    <w:rsid w:val="00011B18"/>
    <w:rsid w:val="00011F07"/>
    <w:rsid w:val="000122C2"/>
    <w:rsid w:val="00012525"/>
    <w:rsid w:val="00012919"/>
    <w:rsid w:val="00012970"/>
    <w:rsid w:val="0001374D"/>
    <w:rsid w:val="0001377E"/>
    <w:rsid w:val="000137D4"/>
    <w:rsid w:val="00013946"/>
    <w:rsid w:val="00013BDE"/>
    <w:rsid w:val="00013CCE"/>
    <w:rsid w:val="00013F20"/>
    <w:rsid w:val="0001439C"/>
    <w:rsid w:val="00014415"/>
    <w:rsid w:val="00014463"/>
    <w:rsid w:val="0001483E"/>
    <w:rsid w:val="00015135"/>
    <w:rsid w:val="000151CE"/>
    <w:rsid w:val="00015474"/>
    <w:rsid w:val="00015C1C"/>
    <w:rsid w:val="00015E4C"/>
    <w:rsid w:val="000163EB"/>
    <w:rsid w:val="00016651"/>
    <w:rsid w:val="00016C39"/>
    <w:rsid w:val="00017437"/>
    <w:rsid w:val="000175A5"/>
    <w:rsid w:val="00017C13"/>
    <w:rsid w:val="00020247"/>
    <w:rsid w:val="000202E7"/>
    <w:rsid w:val="00020936"/>
    <w:rsid w:val="000211BF"/>
    <w:rsid w:val="000213E6"/>
    <w:rsid w:val="00021AF2"/>
    <w:rsid w:val="00021CAD"/>
    <w:rsid w:val="00021D9A"/>
    <w:rsid w:val="00021DB1"/>
    <w:rsid w:val="0002279A"/>
    <w:rsid w:val="00022B6F"/>
    <w:rsid w:val="00022DF6"/>
    <w:rsid w:val="00022E80"/>
    <w:rsid w:val="00023F7D"/>
    <w:rsid w:val="00024B18"/>
    <w:rsid w:val="00024C2C"/>
    <w:rsid w:val="00025170"/>
    <w:rsid w:val="000252C5"/>
    <w:rsid w:val="000257F5"/>
    <w:rsid w:val="00025B1B"/>
    <w:rsid w:val="00025E57"/>
    <w:rsid w:val="0002600F"/>
    <w:rsid w:val="000260D2"/>
    <w:rsid w:val="00026117"/>
    <w:rsid w:val="00026CD4"/>
    <w:rsid w:val="000271B4"/>
    <w:rsid w:val="00027539"/>
    <w:rsid w:val="000278C0"/>
    <w:rsid w:val="00027909"/>
    <w:rsid w:val="00027B1B"/>
    <w:rsid w:val="00027E85"/>
    <w:rsid w:val="00030058"/>
    <w:rsid w:val="000300B3"/>
    <w:rsid w:val="00030316"/>
    <w:rsid w:val="0003043C"/>
    <w:rsid w:val="00030617"/>
    <w:rsid w:val="000308C8"/>
    <w:rsid w:val="0003119F"/>
    <w:rsid w:val="00031AB4"/>
    <w:rsid w:val="0003247F"/>
    <w:rsid w:val="00032661"/>
    <w:rsid w:val="00032CB2"/>
    <w:rsid w:val="00032CF1"/>
    <w:rsid w:val="000336F1"/>
    <w:rsid w:val="0003373C"/>
    <w:rsid w:val="000341BF"/>
    <w:rsid w:val="0003445E"/>
    <w:rsid w:val="000354ED"/>
    <w:rsid w:val="0003566A"/>
    <w:rsid w:val="000358BB"/>
    <w:rsid w:val="00035B2B"/>
    <w:rsid w:val="00035C67"/>
    <w:rsid w:val="00035C76"/>
    <w:rsid w:val="00036712"/>
    <w:rsid w:val="0003683B"/>
    <w:rsid w:val="00036C2B"/>
    <w:rsid w:val="000401D7"/>
    <w:rsid w:val="00040849"/>
    <w:rsid w:val="000408AE"/>
    <w:rsid w:val="00040D42"/>
    <w:rsid w:val="00041098"/>
    <w:rsid w:val="00041424"/>
    <w:rsid w:val="0004189A"/>
    <w:rsid w:val="00041A56"/>
    <w:rsid w:val="00041C11"/>
    <w:rsid w:val="000424C2"/>
    <w:rsid w:val="0004279B"/>
    <w:rsid w:val="00042820"/>
    <w:rsid w:val="00042D86"/>
    <w:rsid w:val="0004320A"/>
    <w:rsid w:val="00043C8A"/>
    <w:rsid w:val="00043E80"/>
    <w:rsid w:val="000440E5"/>
    <w:rsid w:val="00044268"/>
    <w:rsid w:val="000443F3"/>
    <w:rsid w:val="00044521"/>
    <w:rsid w:val="000446F5"/>
    <w:rsid w:val="0004477C"/>
    <w:rsid w:val="00044794"/>
    <w:rsid w:val="0004498D"/>
    <w:rsid w:val="00044990"/>
    <w:rsid w:val="00044B5B"/>
    <w:rsid w:val="00044F25"/>
    <w:rsid w:val="00045004"/>
    <w:rsid w:val="00045CC9"/>
    <w:rsid w:val="00045DE0"/>
    <w:rsid w:val="00045FED"/>
    <w:rsid w:val="00046301"/>
    <w:rsid w:val="0004673F"/>
    <w:rsid w:val="00046DA9"/>
    <w:rsid w:val="00046F1D"/>
    <w:rsid w:val="0004713C"/>
    <w:rsid w:val="0004729A"/>
    <w:rsid w:val="000476D5"/>
    <w:rsid w:val="00047DF5"/>
    <w:rsid w:val="00047E7E"/>
    <w:rsid w:val="00047F07"/>
    <w:rsid w:val="000501BB"/>
    <w:rsid w:val="00050678"/>
    <w:rsid w:val="00050792"/>
    <w:rsid w:val="0005084A"/>
    <w:rsid w:val="00050DC6"/>
    <w:rsid w:val="00051154"/>
    <w:rsid w:val="000513CA"/>
    <w:rsid w:val="000515A0"/>
    <w:rsid w:val="000518A5"/>
    <w:rsid w:val="00051E61"/>
    <w:rsid w:val="00052163"/>
    <w:rsid w:val="000522CF"/>
    <w:rsid w:val="000523FB"/>
    <w:rsid w:val="00052C9A"/>
    <w:rsid w:val="00053357"/>
    <w:rsid w:val="0005372E"/>
    <w:rsid w:val="00053F03"/>
    <w:rsid w:val="000540EE"/>
    <w:rsid w:val="00054126"/>
    <w:rsid w:val="000543FD"/>
    <w:rsid w:val="0005442F"/>
    <w:rsid w:val="00054731"/>
    <w:rsid w:val="00054A15"/>
    <w:rsid w:val="00054B91"/>
    <w:rsid w:val="00054D52"/>
    <w:rsid w:val="0005522E"/>
    <w:rsid w:val="0005542B"/>
    <w:rsid w:val="0005583A"/>
    <w:rsid w:val="00056033"/>
    <w:rsid w:val="0005653A"/>
    <w:rsid w:val="00056881"/>
    <w:rsid w:val="00056960"/>
    <w:rsid w:val="00056BDF"/>
    <w:rsid w:val="00056C93"/>
    <w:rsid w:val="00056CCE"/>
    <w:rsid w:val="0005720B"/>
    <w:rsid w:val="00057331"/>
    <w:rsid w:val="000575B1"/>
    <w:rsid w:val="00057CD0"/>
    <w:rsid w:val="000602B1"/>
    <w:rsid w:val="00060460"/>
    <w:rsid w:val="00060A32"/>
    <w:rsid w:val="00060F47"/>
    <w:rsid w:val="000611CC"/>
    <w:rsid w:val="0006167F"/>
    <w:rsid w:val="000616E5"/>
    <w:rsid w:val="00061866"/>
    <w:rsid w:val="00061B9D"/>
    <w:rsid w:val="00061EEA"/>
    <w:rsid w:val="00062430"/>
    <w:rsid w:val="00062867"/>
    <w:rsid w:val="0006306D"/>
    <w:rsid w:val="000631BB"/>
    <w:rsid w:val="0006362D"/>
    <w:rsid w:val="00063963"/>
    <w:rsid w:val="00063BAB"/>
    <w:rsid w:val="00063D77"/>
    <w:rsid w:val="00063F77"/>
    <w:rsid w:val="000642F4"/>
    <w:rsid w:val="00064607"/>
    <w:rsid w:val="00064B0F"/>
    <w:rsid w:val="000652F0"/>
    <w:rsid w:val="0006548C"/>
    <w:rsid w:val="00066183"/>
    <w:rsid w:val="000661BC"/>
    <w:rsid w:val="000663BC"/>
    <w:rsid w:val="000663DC"/>
    <w:rsid w:val="000663FB"/>
    <w:rsid w:val="00066A0C"/>
    <w:rsid w:val="00066ADF"/>
    <w:rsid w:val="000670F3"/>
    <w:rsid w:val="000678F1"/>
    <w:rsid w:val="00067CCF"/>
    <w:rsid w:val="00067F70"/>
    <w:rsid w:val="00070355"/>
    <w:rsid w:val="00070E7B"/>
    <w:rsid w:val="000712BD"/>
    <w:rsid w:val="0007159D"/>
    <w:rsid w:val="000715F7"/>
    <w:rsid w:val="0007180E"/>
    <w:rsid w:val="00071B1B"/>
    <w:rsid w:val="00072219"/>
    <w:rsid w:val="00072687"/>
    <w:rsid w:val="000726DA"/>
    <w:rsid w:val="0007276D"/>
    <w:rsid w:val="00072931"/>
    <w:rsid w:val="00072FDA"/>
    <w:rsid w:val="00073090"/>
    <w:rsid w:val="000733DF"/>
    <w:rsid w:val="00073836"/>
    <w:rsid w:val="00073AF4"/>
    <w:rsid w:val="00073D1E"/>
    <w:rsid w:val="00074441"/>
    <w:rsid w:val="00074E73"/>
    <w:rsid w:val="000750A8"/>
    <w:rsid w:val="000752C9"/>
    <w:rsid w:val="00075BC2"/>
    <w:rsid w:val="00075FF5"/>
    <w:rsid w:val="0007617B"/>
    <w:rsid w:val="000761D9"/>
    <w:rsid w:val="000762D1"/>
    <w:rsid w:val="00076547"/>
    <w:rsid w:val="00076BF0"/>
    <w:rsid w:val="00076DBC"/>
    <w:rsid w:val="00077989"/>
    <w:rsid w:val="000779C6"/>
    <w:rsid w:val="00077F5F"/>
    <w:rsid w:val="0008038E"/>
    <w:rsid w:val="0008059D"/>
    <w:rsid w:val="0008095D"/>
    <w:rsid w:val="000809BC"/>
    <w:rsid w:val="00080D4F"/>
    <w:rsid w:val="00081AF7"/>
    <w:rsid w:val="000820B0"/>
    <w:rsid w:val="0008247A"/>
    <w:rsid w:val="00082C79"/>
    <w:rsid w:val="00082D7A"/>
    <w:rsid w:val="000830CA"/>
    <w:rsid w:val="000832C2"/>
    <w:rsid w:val="0008338F"/>
    <w:rsid w:val="00083EFE"/>
    <w:rsid w:val="00084491"/>
    <w:rsid w:val="0008486A"/>
    <w:rsid w:val="000850A4"/>
    <w:rsid w:val="000855CB"/>
    <w:rsid w:val="000856BA"/>
    <w:rsid w:val="000863C6"/>
    <w:rsid w:val="00086973"/>
    <w:rsid w:val="00086AD7"/>
    <w:rsid w:val="0008713B"/>
    <w:rsid w:val="0008738A"/>
    <w:rsid w:val="00087491"/>
    <w:rsid w:val="0008750C"/>
    <w:rsid w:val="00087734"/>
    <w:rsid w:val="00087871"/>
    <w:rsid w:val="0009045C"/>
    <w:rsid w:val="0009065C"/>
    <w:rsid w:val="0009106D"/>
    <w:rsid w:val="00091179"/>
    <w:rsid w:val="00091CB3"/>
    <w:rsid w:val="0009233A"/>
    <w:rsid w:val="0009276F"/>
    <w:rsid w:val="00092B2A"/>
    <w:rsid w:val="00092ED8"/>
    <w:rsid w:val="00093504"/>
    <w:rsid w:val="00093554"/>
    <w:rsid w:val="00093AE8"/>
    <w:rsid w:val="00093D35"/>
    <w:rsid w:val="00094399"/>
    <w:rsid w:val="00094471"/>
    <w:rsid w:val="0009489B"/>
    <w:rsid w:val="00094AD9"/>
    <w:rsid w:val="00094BB1"/>
    <w:rsid w:val="00094F45"/>
    <w:rsid w:val="0009502D"/>
    <w:rsid w:val="0009537F"/>
    <w:rsid w:val="00095490"/>
    <w:rsid w:val="00095D4E"/>
    <w:rsid w:val="00095F12"/>
    <w:rsid w:val="0009614F"/>
    <w:rsid w:val="0009653F"/>
    <w:rsid w:val="00096A31"/>
    <w:rsid w:val="00096BAC"/>
    <w:rsid w:val="000971C3"/>
    <w:rsid w:val="000976E0"/>
    <w:rsid w:val="00097C98"/>
    <w:rsid w:val="000A0492"/>
    <w:rsid w:val="000A0583"/>
    <w:rsid w:val="000A0701"/>
    <w:rsid w:val="000A0C15"/>
    <w:rsid w:val="000A1409"/>
    <w:rsid w:val="000A1551"/>
    <w:rsid w:val="000A15B0"/>
    <w:rsid w:val="000A214E"/>
    <w:rsid w:val="000A29AC"/>
    <w:rsid w:val="000A32B5"/>
    <w:rsid w:val="000A3601"/>
    <w:rsid w:val="000A36AE"/>
    <w:rsid w:val="000A3D76"/>
    <w:rsid w:val="000A408C"/>
    <w:rsid w:val="000A4826"/>
    <w:rsid w:val="000A4941"/>
    <w:rsid w:val="000A4C5B"/>
    <w:rsid w:val="000A4D7D"/>
    <w:rsid w:val="000A56E1"/>
    <w:rsid w:val="000A57BB"/>
    <w:rsid w:val="000A5961"/>
    <w:rsid w:val="000A5C48"/>
    <w:rsid w:val="000A6211"/>
    <w:rsid w:val="000A6278"/>
    <w:rsid w:val="000A69A7"/>
    <w:rsid w:val="000A6D7C"/>
    <w:rsid w:val="000A7563"/>
    <w:rsid w:val="000A7924"/>
    <w:rsid w:val="000A7CCB"/>
    <w:rsid w:val="000A7D8E"/>
    <w:rsid w:val="000B0101"/>
    <w:rsid w:val="000B0A3A"/>
    <w:rsid w:val="000B1220"/>
    <w:rsid w:val="000B1506"/>
    <w:rsid w:val="000B1549"/>
    <w:rsid w:val="000B1CC6"/>
    <w:rsid w:val="000B2235"/>
    <w:rsid w:val="000B27F4"/>
    <w:rsid w:val="000B295C"/>
    <w:rsid w:val="000B2E04"/>
    <w:rsid w:val="000B3027"/>
    <w:rsid w:val="000B35D1"/>
    <w:rsid w:val="000B379D"/>
    <w:rsid w:val="000B3805"/>
    <w:rsid w:val="000B3B66"/>
    <w:rsid w:val="000B3BEF"/>
    <w:rsid w:val="000B455C"/>
    <w:rsid w:val="000B4877"/>
    <w:rsid w:val="000B4904"/>
    <w:rsid w:val="000B4A18"/>
    <w:rsid w:val="000B4AFF"/>
    <w:rsid w:val="000B4D01"/>
    <w:rsid w:val="000B4F16"/>
    <w:rsid w:val="000B57A9"/>
    <w:rsid w:val="000B5C16"/>
    <w:rsid w:val="000B5F6D"/>
    <w:rsid w:val="000B64D1"/>
    <w:rsid w:val="000B6680"/>
    <w:rsid w:val="000B66A3"/>
    <w:rsid w:val="000B740B"/>
    <w:rsid w:val="000B76E3"/>
    <w:rsid w:val="000B7713"/>
    <w:rsid w:val="000B7CB3"/>
    <w:rsid w:val="000C0062"/>
    <w:rsid w:val="000C006D"/>
    <w:rsid w:val="000C02E9"/>
    <w:rsid w:val="000C045A"/>
    <w:rsid w:val="000C05D7"/>
    <w:rsid w:val="000C0630"/>
    <w:rsid w:val="000C0EC0"/>
    <w:rsid w:val="000C1254"/>
    <w:rsid w:val="000C143B"/>
    <w:rsid w:val="000C1488"/>
    <w:rsid w:val="000C16BB"/>
    <w:rsid w:val="000C1F57"/>
    <w:rsid w:val="000C2341"/>
    <w:rsid w:val="000C245F"/>
    <w:rsid w:val="000C2510"/>
    <w:rsid w:val="000C279C"/>
    <w:rsid w:val="000C2BBF"/>
    <w:rsid w:val="000C2DA4"/>
    <w:rsid w:val="000C2EAD"/>
    <w:rsid w:val="000C2F25"/>
    <w:rsid w:val="000C333C"/>
    <w:rsid w:val="000C3476"/>
    <w:rsid w:val="000C3D59"/>
    <w:rsid w:val="000C4B41"/>
    <w:rsid w:val="000C4DCC"/>
    <w:rsid w:val="000C52F9"/>
    <w:rsid w:val="000C5726"/>
    <w:rsid w:val="000C5E33"/>
    <w:rsid w:val="000C5E9B"/>
    <w:rsid w:val="000C60A4"/>
    <w:rsid w:val="000C6547"/>
    <w:rsid w:val="000C6868"/>
    <w:rsid w:val="000C6900"/>
    <w:rsid w:val="000C6929"/>
    <w:rsid w:val="000C747F"/>
    <w:rsid w:val="000C74AD"/>
    <w:rsid w:val="000C7C63"/>
    <w:rsid w:val="000C7CBC"/>
    <w:rsid w:val="000C7D58"/>
    <w:rsid w:val="000C7DB4"/>
    <w:rsid w:val="000D001A"/>
    <w:rsid w:val="000D0351"/>
    <w:rsid w:val="000D067E"/>
    <w:rsid w:val="000D0AD1"/>
    <w:rsid w:val="000D0FF9"/>
    <w:rsid w:val="000D16D5"/>
    <w:rsid w:val="000D1725"/>
    <w:rsid w:val="000D1744"/>
    <w:rsid w:val="000D1AFA"/>
    <w:rsid w:val="000D227A"/>
    <w:rsid w:val="000D26FD"/>
    <w:rsid w:val="000D2BD7"/>
    <w:rsid w:val="000D2C97"/>
    <w:rsid w:val="000D2D76"/>
    <w:rsid w:val="000D3330"/>
    <w:rsid w:val="000D3716"/>
    <w:rsid w:val="000D420B"/>
    <w:rsid w:val="000D43C4"/>
    <w:rsid w:val="000D46F1"/>
    <w:rsid w:val="000D48F9"/>
    <w:rsid w:val="000D4CB6"/>
    <w:rsid w:val="000D4EF8"/>
    <w:rsid w:val="000D511F"/>
    <w:rsid w:val="000D5A0A"/>
    <w:rsid w:val="000D5CFE"/>
    <w:rsid w:val="000D62A4"/>
    <w:rsid w:val="000D651E"/>
    <w:rsid w:val="000D6569"/>
    <w:rsid w:val="000D6598"/>
    <w:rsid w:val="000D666F"/>
    <w:rsid w:val="000D6C92"/>
    <w:rsid w:val="000D6E1F"/>
    <w:rsid w:val="000D6E49"/>
    <w:rsid w:val="000D6E74"/>
    <w:rsid w:val="000D72AF"/>
    <w:rsid w:val="000E0014"/>
    <w:rsid w:val="000E01C2"/>
    <w:rsid w:val="000E02DB"/>
    <w:rsid w:val="000E03E9"/>
    <w:rsid w:val="000E0AAE"/>
    <w:rsid w:val="000E15C7"/>
    <w:rsid w:val="000E214F"/>
    <w:rsid w:val="000E236E"/>
    <w:rsid w:val="000E317F"/>
    <w:rsid w:val="000E33E5"/>
    <w:rsid w:val="000E3664"/>
    <w:rsid w:val="000E36C5"/>
    <w:rsid w:val="000E3CFF"/>
    <w:rsid w:val="000E3FB7"/>
    <w:rsid w:val="000E41E0"/>
    <w:rsid w:val="000E4843"/>
    <w:rsid w:val="000E4D55"/>
    <w:rsid w:val="000E4D73"/>
    <w:rsid w:val="000E52A2"/>
    <w:rsid w:val="000E5416"/>
    <w:rsid w:val="000E5A6B"/>
    <w:rsid w:val="000E5A91"/>
    <w:rsid w:val="000E5B24"/>
    <w:rsid w:val="000E5F51"/>
    <w:rsid w:val="000E642B"/>
    <w:rsid w:val="000E658C"/>
    <w:rsid w:val="000E66BD"/>
    <w:rsid w:val="000E6EBD"/>
    <w:rsid w:val="000E709A"/>
    <w:rsid w:val="000E70F2"/>
    <w:rsid w:val="000E73A0"/>
    <w:rsid w:val="000E7AA8"/>
    <w:rsid w:val="000E7C42"/>
    <w:rsid w:val="000F0061"/>
    <w:rsid w:val="000F0A7E"/>
    <w:rsid w:val="000F0DCE"/>
    <w:rsid w:val="000F183F"/>
    <w:rsid w:val="000F1A13"/>
    <w:rsid w:val="000F1AB5"/>
    <w:rsid w:val="000F1F91"/>
    <w:rsid w:val="000F2464"/>
    <w:rsid w:val="000F24CB"/>
    <w:rsid w:val="000F26DB"/>
    <w:rsid w:val="000F2950"/>
    <w:rsid w:val="000F2ECA"/>
    <w:rsid w:val="000F318F"/>
    <w:rsid w:val="000F320F"/>
    <w:rsid w:val="000F35BB"/>
    <w:rsid w:val="000F375B"/>
    <w:rsid w:val="000F411D"/>
    <w:rsid w:val="000F43FF"/>
    <w:rsid w:val="000F47E3"/>
    <w:rsid w:val="000F4890"/>
    <w:rsid w:val="000F4C34"/>
    <w:rsid w:val="000F4EDD"/>
    <w:rsid w:val="000F5381"/>
    <w:rsid w:val="000F58C1"/>
    <w:rsid w:val="000F5B1C"/>
    <w:rsid w:val="000F5BBD"/>
    <w:rsid w:val="000F5BF6"/>
    <w:rsid w:val="000F6119"/>
    <w:rsid w:val="000F6244"/>
    <w:rsid w:val="000F634A"/>
    <w:rsid w:val="000F6712"/>
    <w:rsid w:val="000F6B3D"/>
    <w:rsid w:val="000F6C9C"/>
    <w:rsid w:val="000F6CF9"/>
    <w:rsid w:val="000F6FD1"/>
    <w:rsid w:val="000F73F6"/>
    <w:rsid w:val="000F7816"/>
    <w:rsid w:val="000F7CBF"/>
    <w:rsid w:val="00100710"/>
    <w:rsid w:val="00100B2C"/>
    <w:rsid w:val="0010141C"/>
    <w:rsid w:val="001014C6"/>
    <w:rsid w:val="00101547"/>
    <w:rsid w:val="00101778"/>
    <w:rsid w:val="00101C58"/>
    <w:rsid w:val="00102C27"/>
    <w:rsid w:val="00102D1F"/>
    <w:rsid w:val="00102E99"/>
    <w:rsid w:val="00102EAE"/>
    <w:rsid w:val="00103036"/>
    <w:rsid w:val="00103140"/>
    <w:rsid w:val="0010374E"/>
    <w:rsid w:val="00103D21"/>
    <w:rsid w:val="00104675"/>
    <w:rsid w:val="00104BFA"/>
    <w:rsid w:val="00104E64"/>
    <w:rsid w:val="00104F22"/>
    <w:rsid w:val="00104FEC"/>
    <w:rsid w:val="00105068"/>
    <w:rsid w:val="0010509F"/>
    <w:rsid w:val="0010530A"/>
    <w:rsid w:val="0010534F"/>
    <w:rsid w:val="00105653"/>
    <w:rsid w:val="001058EC"/>
    <w:rsid w:val="00105BCC"/>
    <w:rsid w:val="001060EE"/>
    <w:rsid w:val="00107134"/>
    <w:rsid w:val="00107E76"/>
    <w:rsid w:val="00110108"/>
    <w:rsid w:val="00110457"/>
    <w:rsid w:val="00110683"/>
    <w:rsid w:val="001108E7"/>
    <w:rsid w:val="001108EE"/>
    <w:rsid w:val="00110C46"/>
    <w:rsid w:val="00110E05"/>
    <w:rsid w:val="00110F0D"/>
    <w:rsid w:val="00110F43"/>
    <w:rsid w:val="001115AD"/>
    <w:rsid w:val="00111931"/>
    <w:rsid w:val="00111C86"/>
    <w:rsid w:val="00111CCE"/>
    <w:rsid w:val="00111E39"/>
    <w:rsid w:val="00111F0D"/>
    <w:rsid w:val="00112179"/>
    <w:rsid w:val="00112259"/>
    <w:rsid w:val="00112673"/>
    <w:rsid w:val="001128A2"/>
    <w:rsid w:val="00112C76"/>
    <w:rsid w:val="00112F9B"/>
    <w:rsid w:val="00112FCC"/>
    <w:rsid w:val="0011323B"/>
    <w:rsid w:val="001133CC"/>
    <w:rsid w:val="001136A2"/>
    <w:rsid w:val="001138FB"/>
    <w:rsid w:val="00113C83"/>
    <w:rsid w:val="00113CAA"/>
    <w:rsid w:val="00113CB7"/>
    <w:rsid w:val="00113EC1"/>
    <w:rsid w:val="00114376"/>
    <w:rsid w:val="00114502"/>
    <w:rsid w:val="00114BE1"/>
    <w:rsid w:val="00114FE3"/>
    <w:rsid w:val="00115196"/>
    <w:rsid w:val="00115291"/>
    <w:rsid w:val="00115589"/>
    <w:rsid w:val="00115679"/>
    <w:rsid w:val="0011578C"/>
    <w:rsid w:val="00115DB9"/>
    <w:rsid w:val="00116D5C"/>
    <w:rsid w:val="00116F52"/>
    <w:rsid w:val="0011769E"/>
    <w:rsid w:val="00117E60"/>
    <w:rsid w:val="0012007E"/>
    <w:rsid w:val="0012011E"/>
    <w:rsid w:val="0012036F"/>
    <w:rsid w:val="00120736"/>
    <w:rsid w:val="001207D6"/>
    <w:rsid w:val="001218BE"/>
    <w:rsid w:val="00121F64"/>
    <w:rsid w:val="0012245D"/>
    <w:rsid w:val="0012276F"/>
    <w:rsid w:val="001228A9"/>
    <w:rsid w:val="00122C23"/>
    <w:rsid w:val="00122C6F"/>
    <w:rsid w:val="00122E5A"/>
    <w:rsid w:val="0012308E"/>
    <w:rsid w:val="00123173"/>
    <w:rsid w:val="001238F8"/>
    <w:rsid w:val="00123BAD"/>
    <w:rsid w:val="00123EAD"/>
    <w:rsid w:val="00123F87"/>
    <w:rsid w:val="00124394"/>
    <w:rsid w:val="001247BE"/>
    <w:rsid w:val="00124BBE"/>
    <w:rsid w:val="001251A9"/>
    <w:rsid w:val="001252D8"/>
    <w:rsid w:val="001268F7"/>
    <w:rsid w:val="00126943"/>
    <w:rsid w:val="00126F1A"/>
    <w:rsid w:val="00126FAA"/>
    <w:rsid w:val="001273AF"/>
    <w:rsid w:val="0012758A"/>
    <w:rsid w:val="00127754"/>
    <w:rsid w:val="0012778E"/>
    <w:rsid w:val="00127C33"/>
    <w:rsid w:val="00130007"/>
    <w:rsid w:val="00130346"/>
    <w:rsid w:val="0013035F"/>
    <w:rsid w:val="00130598"/>
    <w:rsid w:val="001307B7"/>
    <w:rsid w:val="00130EAF"/>
    <w:rsid w:val="00130FA7"/>
    <w:rsid w:val="0013115A"/>
    <w:rsid w:val="00131324"/>
    <w:rsid w:val="0013134F"/>
    <w:rsid w:val="0013154D"/>
    <w:rsid w:val="00131AAF"/>
    <w:rsid w:val="00132084"/>
    <w:rsid w:val="00132096"/>
    <w:rsid w:val="001324B4"/>
    <w:rsid w:val="001326E7"/>
    <w:rsid w:val="001327C9"/>
    <w:rsid w:val="00132BB2"/>
    <w:rsid w:val="00132C7B"/>
    <w:rsid w:val="00132D92"/>
    <w:rsid w:val="00132F14"/>
    <w:rsid w:val="001330D9"/>
    <w:rsid w:val="001331F8"/>
    <w:rsid w:val="00133419"/>
    <w:rsid w:val="0013389B"/>
    <w:rsid w:val="001341B1"/>
    <w:rsid w:val="001341D8"/>
    <w:rsid w:val="001344A0"/>
    <w:rsid w:val="0013465A"/>
    <w:rsid w:val="00134ACB"/>
    <w:rsid w:val="00135102"/>
    <w:rsid w:val="001353DF"/>
    <w:rsid w:val="001353E0"/>
    <w:rsid w:val="001359B8"/>
    <w:rsid w:val="00135C49"/>
    <w:rsid w:val="00136496"/>
    <w:rsid w:val="001367BE"/>
    <w:rsid w:val="00136C99"/>
    <w:rsid w:val="00136FA4"/>
    <w:rsid w:val="0013733D"/>
    <w:rsid w:val="001379FE"/>
    <w:rsid w:val="00137AD8"/>
    <w:rsid w:val="00137C52"/>
    <w:rsid w:val="001401C6"/>
    <w:rsid w:val="001404D2"/>
    <w:rsid w:val="00141467"/>
    <w:rsid w:val="001415E9"/>
    <w:rsid w:val="00141920"/>
    <w:rsid w:val="00141B7E"/>
    <w:rsid w:val="00141F6E"/>
    <w:rsid w:val="001428E9"/>
    <w:rsid w:val="00142988"/>
    <w:rsid w:val="00142E39"/>
    <w:rsid w:val="00143461"/>
    <w:rsid w:val="0014352A"/>
    <w:rsid w:val="00143BD7"/>
    <w:rsid w:val="00143D34"/>
    <w:rsid w:val="001441FC"/>
    <w:rsid w:val="0014479B"/>
    <w:rsid w:val="00144D3A"/>
    <w:rsid w:val="00144F11"/>
    <w:rsid w:val="0014526B"/>
    <w:rsid w:val="0014546C"/>
    <w:rsid w:val="00146276"/>
    <w:rsid w:val="001469F1"/>
    <w:rsid w:val="00146E75"/>
    <w:rsid w:val="00146F02"/>
    <w:rsid w:val="00146F42"/>
    <w:rsid w:val="00147298"/>
    <w:rsid w:val="00147EB0"/>
    <w:rsid w:val="00147F00"/>
    <w:rsid w:val="00150297"/>
    <w:rsid w:val="001506BF"/>
    <w:rsid w:val="00150751"/>
    <w:rsid w:val="0015077E"/>
    <w:rsid w:val="00150E28"/>
    <w:rsid w:val="00151B6E"/>
    <w:rsid w:val="00151DE7"/>
    <w:rsid w:val="00152250"/>
    <w:rsid w:val="00152652"/>
    <w:rsid w:val="00152923"/>
    <w:rsid w:val="00152A8B"/>
    <w:rsid w:val="00152BF4"/>
    <w:rsid w:val="0015363B"/>
    <w:rsid w:val="001538C0"/>
    <w:rsid w:val="00153D6B"/>
    <w:rsid w:val="0015414E"/>
    <w:rsid w:val="00154650"/>
    <w:rsid w:val="00154795"/>
    <w:rsid w:val="00154ECC"/>
    <w:rsid w:val="0015539A"/>
    <w:rsid w:val="001559C4"/>
    <w:rsid w:val="00156270"/>
    <w:rsid w:val="0015642E"/>
    <w:rsid w:val="0015698A"/>
    <w:rsid w:val="0015713C"/>
    <w:rsid w:val="00157362"/>
    <w:rsid w:val="0015754F"/>
    <w:rsid w:val="00157598"/>
    <w:rsid w:val="0015781D"/>
    <w:rsid w:val="00157D17"/>
    <w:rsid w:val="001608D5"/>
    <w:rsid w:val="00160BC6"/>
    <w:rsid w:val="00160F17"/>
    <w:rsid w:val="00160F1A"/>
    <w:rsid w:val="001612DD"/>
    <w:rsid w:val="00161456"/>
    <w:rsid w:val="001617F6"/>
    <w:rsid w:val="00161808"/>
    <w:rsid w:val="00162219"/>
    <w:rsid w:val="001629CA"/>
    <w:rsid w:val="001629E1"/>
    <w:rsid w:val="00162B84"/>
    <w:rsid w:val="00162DC9"/>
    <w:rsid w:val="00162DEB"/>
    <w:rsid w:val="00162E8B"/>
    <w:rsid w:val="001630DD"/>
    <w:rsid w:val="0016370A"/>
    <w:rsid w:val="00163B54"/>
    <w:rsid w:val="00163E60"/>
    <w:rsid w:val="00163EB4"/>
    <w:rsid w:val="0016417E"/>
    <w:rsid w:val="001642D4"/>
    <w:rsid w:val="001645EE"/>
    <w:rsid w:val="0016492E"/>
    <w:rsid w:val="00164982"/>
    <w:rsid w:val="0016498E"/>
    <w:rsid w:val="00164C5B"/>
    <w:rsid w:val="00164D7F"/>
    <w:rsid w:val="00164ED6"/>
    <w:rsid w:val="001654CF"/>
    <w:rsid w:val="0016570F"/>
    <w:rsid w:val="00165D63"/>
    <w:rsid w:val="00165DE0"/>
    <w:rsid w:val="001660A4"/>
    <w:rsid w:val="0016624E"/>
    <w:rsid w:val="00166321"/>
    <w:rsid w:val="0016634B"/>
    <w:rsid w:val="00166351"/>
    <w:rsid w:val="001663C8"/>
    <w:rsid w:val="00166AC3"/>
    <w:rsid w:val="00166C00"/>
    <w:rsid w:val="00166D22"/>
    <w:rsid w:val="00167C70"/>
    <w:rsid w:val="00167C80"/>
    <w:rsid w:val="00170207"/>
    <w:rsid w:val="001703B4"/>
    <w:rsid w:val="001705EB"/>
    <w:rsid w:val="00170C5E"/>
    <w:rsid w:val="00170D01"/>
    <w:rsid w:val="00170F59"/>
    <w:rsid w:val="001711C9"/>
    <w:rsid w:val="00171408"/>
    <w:rsid w:val="0017152E"/>
    <w:rsid w:val="00171826"/>
    <w:rsid w:val="001718F1"/>
    <w:rsid w:val="00171D62"/>
    <w:rsid w:val="001722B2"/>
    <w:rsid w:val="0017237F"/>
    <w:rsid w:val="001725C0"/>
    <w:rsid w:val="00172CC2"/>
    <w:rsid w:val="00172DAA"/>
    <w:rsid w:val="00173C54"/>
    <w:rsid w:val="00173F54"/>
    <w:rsid w:val="0017487E"/>
    <w:rsid w:val="00174B8C"/>
    <w:rsid w:val="0017587E"/>
    <w:rsid w:val="001758BC"/>
    <w:rsid w:val="00176269"/>
    <w:rsid w:val="00176318"/>
    <w:rsid w:val="0017653C"/>
    <w:rsid w:val="00176BB9"/>
    <w:rsid w:val="00176E6D"/>
    <w:rsid w:val="0017727D"/>
    <w:rsid w:val="00177379"/>
    <w:rsid w:val="00177663"/>
    <w:rsid w:val="001779C0"/>
    <w:rsid w:val="0018069E"/>
    <w:rsid w:val="001806C7"/>
    <w:rsid w:val="00180B87"/>
    <w:rsid w:val="00180C1B"/>
    <w:rsid w:val="00180EA2"/>
    <w:rsid w:val="00181924"/>
    <w:rsid w:val="0018196C"/>
    <w:rsid w:val="00182391"/>
    <w:rsid w:val="00182492"/>
    <w:rsid w:val="00182FDC"/>
    <w:rsid w:val="0018331D"/>
    <w:rsid w:val="00183395"/>
    <w:rsid w:val="00183EC2"/>
    <w:rsid w:val="00184E0F"/>
    <w:rsid w:val="0018513C"/>
    <w:rsid w:val="001852C4"/>
    <w:rsid w:val="00185300"/>
    <w:rsid w:val="0018544E"/>
    <w:rsid w:val="001857C6"/>
    <w:rsid w:val="001859BF"/>
    <w:rsid w:val="001859FA"/>
    <w:rsid w:val="00185AC3"/>
    <w:rsid w:val="001860BB"/>
    <w:rsid w:val="00186677"/>
    <w:rsid w:val="0018684A"/>
    <w:rsid w:val="0018692D"/>
    <w:rsid w:val="00186FC7"/>
    <w:rsid w:val="001870FE"/>
    <w:rsid w:val="001873DA"/>
    <w:rsid w:val="001873FB"/>
    <w:rsid w:val="00190625"/>
    <w:rsid w:val="0019076E"/>
    <w:rsid w:val="00190928"/>
    <w:rsid w:val="00190B4E"/>
    <w:rsid w:val="00190B98"/>
    <w:rsid w:val="001917A1"/>
    <w:rsid w:val="00191847"/>
    <w:rsid w:val="00191F82"/>
    <w:rsid w:val="00191F8B"/>
    <w:rsid w:val="00191FE2"/>
    <w:rsid w:val="00191FFD"/>
    <w:rsid w:val="001920A4"/>
    <w:rsid w:val="00192565"/>
    <w:rsid w:val="00192866"/>
    <w:rsid w:val="00192A7E"/>
    <w:rsid w:val="0019300D"/>
    <w:rsid w:val="00193502"/>
    <w:rsid w:val="001935F1"/>
    <w:rsid w:val="0019371D"/>
    <w:rsid w:val="00193971"/>
    <w:rsid w:val="00193BE6"/>
    <w:rsid w:val="00193DFD"/>
    <w:rsid w:val="00194849"/>
    <w:rsid w:val="00194A72"/>
    <w:rsid w:val="00194E4C"/>
    <w:rsid w:val="00195103"/>
    <w:rsid w:val="00195500"/>
    <w:rsid w:val="00195790"/>
    <w:rsid w:val="001962A0"/>
    <w:rsid w:val="0019633E"/>
    <w:rsid w:val="001966FE"/>
    <w:rsid w:val="00196A63"/>
    <w:rsid w:val="0019721E"/>
    <w:rsid w:val="001978F0"/>
    <w:rsid w:val="0019793B"/>
    <w:rsid w:val="00197AC6"/>
    <w:rsid w:val="00197BB2"/>
    <w:rsid w:val="001A00A8"/>
    <w:rsid w:val="001A02CB"/>
    <w:rsid w:val="001A0317"/>
    <w:rsid w:val="001A08FC"/>
    <w:rsid w:val="001A0D02"/>
    <w:rsid w:val="001A0DB1"/>
    <w:rsid w:val="001A1110"/>
    <w:rsid w:val="001A1673"/>
    <w:rsid w:val="001A17D5"/>
    <w:rsid w:val="001A1A96"/>
    <w:rsid w:val="001A1B9B"/>
    <w:rsid w:val="001A2266"/>
    <w:rsid w:val="001A24C4"/>
    <w:rsid w:val="001A25A4"/>
    <w:rsid w:val="001A2D6F"/>
    <w:rsid w:val="001A3296"/>
    <w:rsid w:val="001A3618"/>
    <w:rsid w:val="001A3803"/>
    <w:rsid w:val="001A3C2D"/>
    <w:rsid w:val="001A4123"/>
    <w:rsid w:val="001A434E"/>
    <w:rsid w:val="001A436D"/>
    <w:rsid w:val="001A4969"/>
    <w:rsid w:val="001A4A0C"/>
    <w:rsid w:val="001A4B75"/>
    <w:rsid w:val="001A4D91"/>
    <w:rsid w:val="001A544D"/>
    <w:rsid w:val="001A55BF"/>
    <w:rsid w:val="001A570A"/>
    <w:rsid w:val="001A5AAA"/>
    <w:rsid w:val="001A5B98"/>
    <w:rsid w:val="001A606F"/>
    <w:rsid w:val="001A6651"/>
    <w:rsid w:val="001A69D5"/>
    <w:rsid w:val="001A69F8"/>
    <w:rsid w:val="001A6E4D"/>
    <w:rsid w:val="001A6FED"/>
    <w:rsid w:val="001A7952"/>
    <w:rsid w:val="001A7FD4"/>
    <w:rsid w:val="001B01EC"/>
    <w:rsid w:val="001B095E"/>
    <w:rsid w:val="001B10D2"/>
    <w:rsid w:val="001B10DF"/>
    <w:rsid w:val="001B12C7"/>
    <w:rsid w:val="001B12D2"/>
    <w:rsid w:val="001B1379"/>
    <w:rsid w:val="001B1441"/>
    <w:rsid w:val="001B1A2F"/>
    <w:rsid w:val="001B1B2A"/>
    <w:rsid w:val="001B1B5D"/>
    <w:rsid w:val="001B1B8C"/>
    <w:rsid w:val="001B2625"/>
    <w:rsid w:val="001B2755"/>
    <w:rsid w:val="001B39EF"/>
    <w:rsid w:val="001B412B"/>
    <w:rsid w:val="001B4162"/>
    <w:rsid w:val="001B456D"/>
    <w:rsid w:val="001B4672"/>
    <w:rsid w:val="001B46EB"/>
    <w:rsid w:val="001B48E4"/>
    <w:rsid w:val="001B4C77"/>
    <w:rsid w:val="001B54DD"/>
    <w:rsid w:val="001B5AED"/>
    <w:rsid w:val="001B5B8B"/>
    <w:rsid w:val="001B5C67"/>
    <w:rsid w:val="001B5E20"/>
    <w:rsid w:val="001B61A0"/>
    <w:rsid w:val="001B635C"/>
    <w:rsid w:val="001B6826"/>
    <w:rsid w:val="001B6A61"/>
    <w:rsid w:val="001B6D45"/>
    <w:rsid w:val="001B7405"/>
    <w:rsid w:val="001B75BE"/>
    <w:rsid w:val="001B77A9"/>
    <w:rsid w:val="001B7864"/>
    <w:rsid w:val="001B78B2"/>
    <w:rsid w:val="001B7A5E"/>
    <w:rsid w:val="001B7AAB"/>
    <w:rsid w:val="001B7B16"/>
    <w:rsid w:val="001B7DBC"/>
    <w:rsid w:val="001C00B7"/>
    <w:rsid w:val="001C01AB"/>
    <w:rsid w:val="001C032B"/>
    <w:rsid w:val="001C0490"/>
    <w:rsid w:val="001C0902"/>
    <w:rsid w:val="001C11C7"/>
    <w:rsid w:val="001C1236"/>
    <w:rsid w:val="001C13D7"/>
    <w:rsid w:val="001C1652"/>
    <w:rsid w:val="001C1BE7"/>
    <w:rsid w:val="001C1D66"/>
    <w:rsid w:val="001C1E88"/>
    <w:rsid w:val="001C1FDC"/>
    <w:rsid w:val="001C20B3"/>
    <w:rsid w:val="001C2304"/>
    <w:rsid w:val="001C235C"/>
    <w:rsid w:val="001C2DB8"/>
    <w:rsid w:val="001C32FA"/>
    <w:rsid w:val="001C3555"/>
    <w:rsid w:val="001C3A5F"/>
    <w:rsid w:val="001C3B9E"/>
    <w:rsid w:val="001C441B"/>
    <w:rsid w:val="001C481D"/>
    <w:rsid w:val="001C4D06"/>
    <w:rsid w:val="001C51EC"/>
    <w:rsid w:val="001C55C1"/>
    <w:rsid w:val="001C5850"/>
    <w:rsid w:val="001C599E"/>
    <w:rsid w:val="001C5B09"/>
    <w:rsid w:val="001C5D2C"/>
    <w:rsid w:val="001C5E8B"/>
    <w:rsid w:val="001C6984"/>
    <w:rsid w:val="001C6CC9"/>
    <w:rsid w:val="001C6D92"/>
    <w:rsid w:val="001C7AD5"/>
    <w:rsid w:val="001C7D65"/>
    <w:rsid w:val="001D0012"/>
    <w:rsid w:val="001D0722"/>
    <w:rsid w:val="001D0DBF"/>
    <w:rsid w:val="001D0E2D"/>
    <w:rsid w:val="001D1360"/>
    <w:rsid w:val="001D153F"/>
    <w:rsid w:val="001D18AA"/>
    <w:rsid w:val="001D1939"/>
    <w:rsid w:val="001D1C1B"/>
    <w:rsid w:val="001D1E17"/>
    <w:rsid w:val="001D225C"/>
    <w:rsid w:val="001D2FE0"/>
    <w:rsid w:val="001D3715"/>
    <w:rsid w:val="001D38F6"/>
    <w:rsid w:val="001D3B47"/>
    <w:rsid w:val="001D3EB5"/>
    <w:rsid w:val="001D4A94"/>
    <w:rsid w:val="001D4F71"/>
    <w:rsid w:val="001D51D0"/>
    <w:rsid w:val="001D5DC6"/>
    <w:rsid w:val="001D648E"/>
    <w:rsid w:val="001D6869"/>
    <w:rsid w:val="001D6929"/>
    <w:rsid w:val="001D6E90"/>
    <w:rsid w:val="001D7080"/>
    <w:rsid w:val="001D746C"/>
    <w:rsid w:val="001D7629"/>
    <w:rsid w:val="001D7B89"/>
    <w:rsid w:val="001D7F15"/>
    <w:rsid w:val="001D7F9D"/>
    <w:rsid w:val="001E00A6"/>
    <w:rsid w:val="001E0504"/>
    <w:rsid w:val="001E0792"/>
    <w:rsid w:val="001E0F30"/>
    <w:rsid w:val="001E1545"/>
    <w:rsid w:val="001E1700"/>
    <w:rsid w:val="001E187E"/>
    <w:rsid w:val="001E18AC"/>
    <w:rsid w:val="001E1A63"/>
    <w:rsid w:val="001E1AD5"/>
    <w:rsid w:val="001E1CDB"/>
    <w:rsid w:val="001E1F39"/>
    <w:rsid w:val="001E25CC"/>
    <w:rsid w:val="001E291B"/>
    <w:rsid w:val="001E3199"/>
    <w:rsid w:val="001E3747"/>
    <w:rsid w:val="001E3FB2"/>
    <w:rsid w:val="001E498E"/>
    <w:rsid w:val="001E4E86"/>
    <w:rsid w:val="001E51D4"/>
    <w:rsid w:val="001E5216"/>
    <w:rsid w:val="001E5556"/>
    <w:rsid w:val="001E5B86"/>
    <w:rsid w:val="001E5C80"/>
    <w:rsid w:val="001E6116"/>
    <w:rsid w:val="001E6123"/>
    <w:rsid w:val="001E6334"/>
    <w:rsid w:val="001E6473"/>
    <w:rsid w:val="001E64D8"/>
    <w:rsid w:val="001E6B12"/>
    <w:rsid w:val="001E6B5F"/>
    <w:rsid w:val="001E6DF2"/>
    <w:rsid w:val="001E7643"/>
    <w:rsid w:val="001E7ECB"/>
    <w:rsid w:val="001E7F2E"/>
    <w:rsid w:val="001F0CF5"/>
    <w:rsid w:val="001F0D74"/>
    <w:rsid w:val="001F1269"/>
    <w:rsid w:val="001F13BB"/>
    <w:rsid w:val="001F186E"/>
    <w:rsid w:val="001F1AC1"/>
    <w:rsid w:val="001F2739"/>
    <w:rsid w:val="001F2CDF"/>
    <w:rsid w:val="001F400F"/>
    <w:rsid w:val="001F4303"/>
    <w:rsid w:val="001F44AF"/>
    <w:rsid w:val="001F4544"/>
    <w:rsid w:val="001F46CD"/>
    <w:rsid w:val="001F47CD"/>
    <w:rsid w:val="001F4D6F"/>
    <w:rsid w:val="001F52D7"/>
    <w:rsid w:val="001F52F0"/>
    <w:rsid w:val="001F54B4"/>
    <w:rsid w:val="001F572B"/>
    <w:rsid w:val="001F5F4A"/>
    <w:rsid w:val="001F6282"/>
    <w:rsid w:val="001F6B72"/>
    <w:rsid w:val="001F6DC8"/>
    <w:rsid w:val="001F7074"/>
    <w:rsid w:val="001F739D"/>
    <w:rsid w:val="001F7795"/>
    <w:rsid w:val="001F7CCE"/>
    <w:rsid w:val="001F7D4D"/>
    <w:rsid w:val="0020014B"/>
    <w:rsid w:val="002002DE"/>
    <w:rsid w:val="002003BD"/>
    <w:rsid w:val="002003F5"/>
    <w:rsid w:val="00200743"/>
    <w:rsid w:val="00200D82"/>
    <w:rsid w:val="00200EFB"/>
    <w:rsid w:val="002020C2"/>
    <w:rsid w:val="00202280"/>
    <w:rsid w:val="00202631"/>
    <w:rsid w:val="00202873"/>
    <w:rsid w:val="002028AA"/>
    <w:rsid w:val="00202A97"/>
    <w:rsid w:val="00202DD7"/>
    <w:rsid w:val="00202E55"/>
    <w:rsid w:val="00202E72"/>
    <w:rsid w:val="00203359"/>
    <w:rsid w:val="0020335A"/>
    <w:rsid w:val="002047CB"/>
    <w:rsid w:val="00204A43"/>
    <w:rsid w:val="00204C48"/>
    <w:rsid w:val="00205175"/>
    <w:rsid w:val="002060F7"/>
    <w:rsid w:val="00206606"/>
    <w:rsid w:val="0020673F"/>
    <w:rsid w:val="0020733F"/>
    <w:rsid w:val="002073C0"/>
    <w:rsid w:val="0020799C"/>
    <w:rsid w:val="00207CC4"/>
    <w:rsid w:val="00207D21"/>
    <w:rsid w:val="00207E66"/>
    <w:rsid w:val="00210085"/>
    <w:rsid w:val="00210630"/>
    <w:rsid w:val="002106F9"/>
    <w:rsid w:val="00210B0C"/>
    <w:rsid w:val="0021175A"/>
    <w:rsid w:val="00212503"/>
    <w:rsid w:val="0021276A"/>
    <w:rsid w:val="00212AC0"/>
    <w:rsid w:val="00212FC8"/>
    <w:rsid w:val="00213419"/>
    <w:rsid w:val="00213977"/>
    <w:rsid w:val="00213B0D"/>
    <w:rsid w:val="0021462B"/>
    <w:rsid w:val="002149AE"/>
    <w:rsid w:val="00214C9F"/>
    <w:rsid w:val="00215B0D"/>
    <w:rsid w:val="00215CF8"/>
    <w:rsid w:val="00215F8E"/>
    <w:rsid w:val="00216032"/>
    <w:rsid w:val="00216B85"/>
    <w:rsid w:val="00216DB2"/>
    <w:rsid w:val="00217078"/>
    <w:rsid w:val="002173D8"/>
    <w:rsid w:val="00217568"/>
    <w:rsid w:val="002177EC"/>
    <w:rsid w:val="00220E71"/>
    <w:rsid w:val="0022100B"/>
    <w:rsid w:val="00221746"/>
    <w:rsid w:val="002217EE"/>
    <w:rsid w:val="00221C7E"/>
    <w:rsid w:val="002220AF"/>
    <w:rsid w:val="002222EB"/>
    <w:rsid w:val="00222408"/>
    <w:rsid w:val="002228B6"/>
    <w:rsid w:val="0022317C"/>
    <w:rsid w:val="00223259"/>
    <w:rsid w:val="00223D88"/>
    <w:rsid w:val="0022405F"/>
    <w:rsid w:val="00224067"/>
    <w:rsid w:val="002241E9"/>
    <w:rsid w:val="002245E5"/>
    <w:rsid w:val="00224676"/>
    <w:rsid w:val="0022468A"/>
    <w:rsid w:val="00224990"/>
    <w:rsid w:val="00224A07"/>
    <w:rsid w:val="00224A24"/>
    <w:rsid w:val="00224B52"/>
    <w:rsid w:val="00224B8C"/>
    <w:rsid w:val="0022502E"/>
    <w:rsid w:val="00225CC0"/>
    <w:rsid w:val="00226289"/>
    <w:rsid w:val="00226A17"/>
    <w:rsid w:val="0022765D"/>
    <w:rsid w:val="00227A7D"/>
    <w:rsid w:val="00227B12"/>
    <w:rsid w:val="00227E3E"/>
    <w:rsid w:val="00227EA3"/>
    <w:rsid w:val="00227EEE"/>
    <w:rsid w:val="002306C0"/>
    <w:rsid w:val="00231207"/>
    <w:rsid w:val="002313D9"/>
    <w:rsid w:val="00231CD6"/>
    <w:rsid w:val="002322BC"/>
    <w:rsid w:val="00232620"/>
    <w:rsid w:val="0023298E"/>
    <w:rsid w:val="00232C56"/>
    <w:rsid w:val="0023346D"/>
    <w:rsid w:val="00233F7B"/>
    <w:rsid w:val="002340EE"/>
    <w:rsid w:val="002341FE"/>
    <w:rsid w:val="00234F21"/>
    <w:rsid w:val="002354F4"/>
    <w:rsid w:val="0023566F"/>
    <w:rsid w:val="00235781"/>
    <w:rsid w:val="002357E8"/>
    <w:rsid w:val="00235BB6"/>
    <w:rsid w:val="002370C1"/>
    <w:rsid w:val="002379CE"/>
    <w:rsid w:val="00240590"/>
    <w:rsid w:val="002405D9"/>
    <w:rsid w:val="00240CF2"/>
    <w:rsid w:val="0024198E"/>
    <w:rsid w:val="00241D0B"/>
    <w:rsid w:val="0024201E"/>
    <w:rsid w:val="002423EF"/>
    <w:rsid w:val="0024255A"/>
    <w:rsid w:val="00242594"/>
    <w:rsid w:val="002428EB"/>
    <w:rsid w:val="00242915"/>
    <w:rsid w:val="00242944"/>
    <w:rsid w:val="002429A1"/>
    <w:rsid w:val="00242F40"/>
    <w:rsid w:val="0024336C"/>
    <w:rsid w:val="00243474"/>
    <w:rsid w:val="002436C2"/>
    <w:rsid w:val="0024397B"/>
    <w:rsid w:val="00243DCC"/>
    <w:rsid w:val="00243ECF"/>
    <w:rsid w:val="00244189"/>
    <w:rsid w:val="00244554"/>
    <w:rsid w:val="002445A0"/>
    <w:rsid w:val="00244E6B"/>
    <w:rsid w:val="0024500F"/>
    <w:rsid w:val="00245381"/>
    <w:rsid w:val="00245C8D"/>
    <w:rsid w:val="00245F00"/>
    <w:rsid w:val="00246069"/>
    <w:rsid w:val="0024662D"/>
    <w:rsid w:val="00246BB0"/>
    <w:rsid w:val="00246E2E"/>
    <w:rsid w:val="00247578"/>
    <w:rsid w:val="0025003A"/>
    <w:rsid w:val="002501AF"/>
    <w:rsid w:val="0025025A"/>
    <w:rsid w:val="00250273"/>
    <w:rsid w:val="0025036B"/>
    <w:rsid w:val="002506C3"/>
    <w:rsid w:val="00251009"/>
    <w:rsid w:val="00251747"/>
    <w:rsid w:val="00251E74"/>
    <w:rsid w:val="00251EDB"/>
    <w:rsid w:val="002525A6"/>
    <w:rsid w:val="002529D6"/>
    <w:rsid w:val="00252A9D"/>
    <w:rsid w:val="00252D52"/>
    <w:rsid w:val="00252FD5"/>
    <w:rsid w:val="0025320E"/>
    <w:rsid w:val="0025325A"/>
    <w:rsid w:val="00253480"/>
    <w:rsid w:val="00253896"/>
    <w:rsid w:val="00253995"/>
    <w:rsid w:val="00253E24"/>
    <w:rsid w:val="0025446C"/>
    <w:rsid w:val="0025460E"/>
    <w:rsid w:val="00254C67"/>
    <w:rsid w:val="002551B2"/>
    <w:rsid w:val="00255E5B"/>
    <w:rsid w:val="00255F9C"/>
    <w:rsid w:val="002561B8"/>
    <w:rsid w:val="00256723"/>
    <w:rsid w:val="0025685D"/>
    <w:rsid w:val="00256E1E"/>
    <w:rsid w:val="00256ED7"/>
    <w:rsid w:val="00256F73"/>
    <w:rsid w:val="0025734A"/>
    <w:rsid w:val="00257697"/>
    <w:rsid w:val="002576EC"/>
    <w:rsid w:val="00257A28"/>
    <w:rsid w:val="00257B46"/>
    <w:rsid w:val="00257F0F"/>
    <w:rsid w:val="00260222"/>
    <w:rsid w:val="00260509"/>
    <w:rsid w:val="0026073F"/>
    <w:rsid w:val="00260A92"/>
    <w:rsid w:val="00260FCD"/>
    <w:rsid w:val="00261559"/>
    <w:rsid w:val="002615C1"/>
    <w:rsid w:val="002618A8"/>
    <w:rsid w:val="00261E2D"/>
    <w:rsid w:val="00261EB7"/>
    <w:rsid w:val="00262161"/>
    <w:rsid w:val="002622B1"/>
    <w:rsid w:val="002624C0"/>
    <w:rsid w:val="0026258D"/>
    <w:rsid w:val="00262A5D"/>
    <w:rsid w:val="00262B09"/>
    <w:rsid w:val="00262C9F"/>
    <w:rsid w:val="00262D04"/>
    <w:rsid w:val="002634DA"/>
    <w:rsid w:val="002637E4"/>
    <w:rsid w:val="002638BE"/>
    <w:rsid w:val="00264129"/>
    <w:rsid w:val="002643BA"/>
    <w:rsid w:val="00264998"/>
    <w:rsid w:val="00264FA9"/>
    <w:rsid w:val="002654F7"/>
    <w:rsid w:val="00265646"/>
    <w:rsid w:val="00265AE8"/>
    <w:rsid w:val="00265C6A"/>
    <w:rsid w:val="00265FBF"/>
    <w:rsid w:val="0026607A"/>
    <w:rsid w:val="002661AC"/>
    <w:rsid w:val="0026660F"/>
    <w:rsid w:val="00266A27"/>
    <w:rsid w:val="00266BA1"/>
    <w:rsid w:val="00267294"/>
    <w:rsid w:val="0026761C"/>
    <w:rsid w:val="002678AA"/>
    <w:rsid w:val="00267D23"/>
    <w:rsid w:val="00267DB4"/>
    <w:rsid w:val="00267F54"/>
    <w:rsid w:val="002717A7"/>
    <w:rsid w:val="0027202C"/>
    <w:rsid w:val="00272ACD"/>
    <w:rsid w:val="00272C46"/>
    <w:rsid w:val="00272FE6"/>
    <w:rsid w:val="0027305B"/>
    <w:rsid w:val="0027317A"/>
    <w:rsid w:val="00273647"/>
    <w:rsid w:val="00273705"/>
    <w:rsid w:val="00274324"/>
    <w:rsid w:val="00274CDC"/>
    <w:rsid w:val="00275202"/>
    <w:rsid w:val="002753B9"/>
    <w:rsid w:val="002759A0"/>
    <w:rsid w:val="002759F4"/>
    <w:rsid w:val="00275E2D"/>
    <w:rsid w:val="00276456"/>
    <w:rsid w:val="002768FE"/>
    <w:rsid w:val="00276976"/>
    <w:rsid w:val="00276DE5"/>
    <w:rsid w:val="00277A63"/>
    <w:rsid w:val="00280013"/>
    <w:rsid w:val="00280797"/>
    <w:rsid w:val="00280970"/>
    <w:rsid w:val="0028156E"/>
    <w:rsid w:val="00281659"/>
    <w:rsid w:val="002819A0"/>
    <w:rsid w:val="002819E2"/>
    <w:rsid w:val="0028209E"/>
    <w:rsid w:val="002822DB"/>
    <w:rsid w:val="0028269D"/>
    <w:rsid w:val="00282DC4"/>
    <w:rsid w:val="00282F97"/>
    <w:rsid w:val="0028316A"/>
    <w:rsid w:val="002832ED"/>
    <w:rsid w:val="002833F3"/>
    <w:rsid w:val="00283ED0"/>
    <w:rsid w:val="002842B1"/>
    <w:rsid w:val="0028460B"/>
    <w:rsid w:val="002847AB"/>
    <w:rsid w:val="00284E84"/>
    <w:rsid w:val="002854AA"/>
    <w:rsid w:val="002858BF"/>
    <w:rsid w:val="00286015"/>
    <w:rsid w:val="0028622E"/>
    <w:rsid w:val="0028694B"/>
    <w:rsid w:val="00286BEA"/>
    <w:rsid w:val="00286CEB"/>
    <w:rsid w:val="00287206"/>
    <w:rsid w:val="0028746F"/>
    <w:rsid w:val="00290110"/>
    <w:rsid w:val="00290829"/>
    <w:rsid w:val="00290CEA"/>
    <w:rsid w:val="002911C5"/>
    <w:rsid w:val="00291202"/>
    <w:rsid w:val="00291247"/>
    <w:rsid w:val="00291721"/>
    <w:rsid w:val="00291FE4"/>
    <w:rsid w:val="0029219F"/>
    <w:rsid w:val="00292662"/>
    <w:rsid w:val="00292DA9"/>
    <w:rsid w:val="002930ED"/>
    <w:rsid w:val="0029482A"/>
    <w:rsid w:val="00295295"/>
    <w:rsid w:val="00295316"/>
    <w:rsid w:val="00295356"/>
    <w:rsid w:val="002954BE"/>
    <w:rsid w:val="00295533"/>
    <w:rsid w:val="00295658"/>
    <w:rsid w:val="00295BC6"/>
    <w:rsid w:val="00295FAD"/>
    <w:rsid w:val="00295FB7"/>
    <w:rsid w:val="0029643F"/>
    <w:rsid w:val="0029653E"/>
    <w:rsid w:val="00296FC7"/>
    <w:rsid w:val="002970A0"/>
    <w:rsid w:val="002971BF"/>
    <w:rsid w:val="00297336"/>
    <w:rsid w:val="002974C6"/>
    <w:rsid w:val="00297CE8"/>
    <w:rsid w:val="002A029E"/>
    <w:rsid w:val="002A135E"/>
    <w:rsid w:val="002A1719"/>
    <w:rsid w:val="002A182A"/>
    <w:rsid w:val="002A1BCD"/>
    <w:rsid w:val="002A1D67"/>
    <w:rsid w:val="002A1E65"/>
    <w:rsid w:val="002A1E87"/>
    <w:rsid w:val="002A21B0"/>
    <w:rsid w:val="002A2915"/>
    <w:rsid w:val="002A2AD7"/>
    <w:rsid w:val="002A34FE"/>
    <w:rsid w:val="002A3925"/>
    <w:rsid w:val="002A408A"/>
    <w:rsid w:val="002A4263"/>
    <w:rsid w:val="002A4304"/>
    <w:rsid w:val="002A50A5"/>
    <w:rsid w:val="002A5181"/>
    <w:rsid w:val="002A5259"/>
    <w:rsid w:val="002A5336"/>
    <w:rsid w:val="002A5675"/>
    <w:rsid w:val="002A5802"/>
    <w:rsid w:val="002A5BD5"/>
    <w:rsid w:val="002A5C66"/>
    <w:rsid w:val="002A5C71"/>
    <w:rsid w:val="002A5C72"/>
    <w:rsid w:val="002A5D3F"/>
    <w:rsid w:val="002A5ED3"/>
    <w:rsid w:val="002A5FD8"/>
    <w:rsid w:val="002A607F"/>
    <w:rsid w:val="002A608B"/>
    <w:rsid w:val="002A61C3"/>
    <w:rsid w:val="002A6234"/>
    <w:rsid w:val="002A62A1"/>
    <w:rsid w:val="002A6C1A"/>
    <w:rsid w:val="002A6D22"/>
    <w:rsid w:val="002A7419"/>
    <w:rsid w:val="002A7C1A"/>
    <w:rsid w:val="002B020D"/>
    <w:rsid w:val="002B116E"/>
    <w:rsid w:val="002B13CF"/>
    <w:rsid w:val="002B1559"/>
    <w:rsid w:val="002B162F"/>
    <w:rsid w:val="002B1AEA"/>
    <w:rsid w:val="002B21DB"/>
    <w:rsid w:val="002B228C"/>
    <w:rsid w:val="002B2417"/>
    <w:rsid w:val="002B27F9"/>
    <w:rsid w:val="002B2B63"/>
    <w:rsid w:val="002B2DE3"/>
    <w:rsid w:val="002B3444"/>
    <w:rsid w:val="002B3908"/>
    <w:rsid w:val="002B3BB3"/>
    <w:rsid w:val="002B3EAA"/>
    <w:rsid w:val="002B45E5"/>
    <w:rsid w:val="002B4933"/>
    <w:rsid w:val="002B5376"/>
    <w:rsid w:val="002B54D2"/>
    <w:rsid w:val="002B5A7A"/>
    <w:rsid w:val="002B5C5B"/>
    <w:rsid w:val="002B5D5E"/>
    <w:rsid w:val="002B5DBD"/>
    <w:rsid w:val="002B5FFB"/>
    <w:rsid w:val="002B620E"/>
    <w:rsid w:val="002B63B6"/>
    <w:rsid w:val="002B6717"/>
    <w:rsid w:val="002B67EC"/>
    <w:rsid w:val="002B6B21"/>
    <w:rsid w:val="002B71AA"/>
    <w:rsid w:val="002B75C3"/>
    <w:rsid w:val="002B77A1"/>
    <w:rsid w:val="002B7880"/>
    <w:rsid w:val="002C019A"/>
    <w:rsid w:val="002C06D6"/>
    <w:rsid w:val="002C07CF"/>
    <w:rsid w:val="002C0961"/>
    <w:rsid w:val="002C0DA7"/>
    <w:rsid w:val="002C14B4"/>
    <w:rsid w:val="002C1880"/>
    <w:rsid w:val="002C1BED"/>
    <w:rsid w:val="002C1CF2"/>
    <w:rsid w:val="002C1D85"/>
    <w:rsid w:val="002C1FA0"/>
    <w:rsid w:val="002C22C2"/>
    <w:rsid w:val="002C28CF"/>
    <w:rsid w:val="002C2CC6"/>
    <w:rsid w:val="002C35F7"/>
    <w:rsid w:val="002C3AD2"/>
    <w:rsid w:val="002C409E"/>
    <w:rsid w:val="002C43FB"/>
    <w:rsid w:val="002C44D2"/>
    <w:rsid w:val="002C4509"/>
    <w:rsid w:val="002C48F0"/>
    <w:rsid w:val="002C4D70"/>
    <w:rsid w:val="002C4E4C"/>
    <w:rsid w:val="002C5053"/>
    <w:rsid w:val="002C5493"/>
    <w:rsid w:val="002C557E"/>
    <w:rsid w:val="002C5DA5"/>
    <w:rsid w:val="002C5EFF"/>
    <w:rsid w:val="002C6634"/>
    <w:rsid w:val="002C68AE"/>
    <w:rsid w:val="002C6DAD"/>
    <w:rsid w:val="002C74B9"/>
    <w:rsid w:val="002D045E"/>
    <w:rsid w:val="002D0752"/>
    <w:rsid w:val="002D0865"/>
    <w:rsid w:val="002D1306"/>
    <w:rsid w:val="002D193B"/>
    <w:rsid w:val="002D2490"/>
    <w:rsid w:val="002D24AB"/>
    <w:rsid w:val="002D2938"/>
    <w:rsid w:val="002D334E"/>
    <w:rsid w:val="002D365D"/>
    <w:rsid w:val="002D3734"/>
    <w:rsid w:val="002D39ED"/>
    <w:rsid w:val="002D3B1C"/>
    <w:rsid w:val="002D3E6E"/>
    <w:rsid w:val="002D4CCF"/>
    <w:rsid w:val="002D4DBD"/>
    <w:rsid w:val="002D56BA"/>
    <w:rsid w:val="002D5B96"/>
    <w:rsid w:val="002D5BCA"/>
    <w:rsid w:val="002D5C1B"/>
    <w:rsid w:val="002D5F4A"/>
    <w:rsid w:val="002D6085"/>
    <w:rsid w:val="002D6387"/>
    <w:rsid w:val="002D6525"/>
    <w:rsid w:val="002D6535"/>
    <w:rsid w:val="002D69AC"/>
    <w:rsid w:val="002D6AB8"/>
    <w:rsid w:val="002D6F86"/>
    <w:rsid w:val="002D778C"/>
    <w:rsid w:val="002D77EC"/>
    <w:rsid w:val="002D78CA"/>
    <w:rsid w:val="002D79A5"/>
    <w:rsid w:val="002D7B06"/>
    <w:rsid w:val="002E0229"/>
    <w:rsid w:val="002E0745"/>
    <w:rsid w:val="002E1293"/>
    <w:rsid w:val="002E1485"/>
    <w:rsid w:val="002E1977"/>
    <w:rsid w:val="002E1F01"/>
    <w:rsid w:val="002E1FDE"/>
    <w:rsid w:val="002E26C8"/>
    <w:rsid w:val="002E28B7"/>
    <w:rsid w:val="002E2B17"/>
    <w:rsid w:val="002E2C3F"/>
    <w:rsid w:val="002E3049"/>
    <w:rsid w:val="002E310E"/>
    <w:rsid w:val="002E3540"/>
    <w:rsid w:val="002E401D"/>
    <w:rsid w:val="002E4175"/>
    <w:rsid w:val="002E4704"/>
    <w:rsid w:val="002E4B07"/>
    <w:rsid w:val="002E4C40"/>
    <w:rsid w:val="002E4E6F"/>
    <w:rsid w:val="002E5477"/>
    <w:rsid w:val="002E59BA"/>
    <w:rsid w:val="002E5CA7"/>
    <w:rsid w:val="002E5D99"/>
    <w:rsid w:val="002E5DE8"/>
    <w:rsid w:val="002E5F75"/>
    <w:rsid w:val="002E6384"/>
    <w:rsid w:val="002E66FB"/>
    <w:rsid w:val="002E6BEE"/>
    <w:rsid w:val="002E7343"/>
    <w:rsid w:val="002E74D3"/>
    <w:rsid w:val="002E75C4"/>
    <w:rsid w:val="002E7B2F"/>
    <w:rsid w:val="002E7B3A"/>
    <w:rsid w:val="002F0417"/>
    <w:rsid w:val="002F08E9"/>
    <w:rsid w:val="002F11E2"/>
    <w:rsid w:val="002F12BC"/>
    <w:rsid w:val="002F1C65"/>
    <w:rsid w:val="002F1D27"/>
    <w:rsid w:val="002F1F0E"/>
    <w:rsid w:val="002F22A4"/>
    <w:rsid w:val="002F235C"/>
    <w:rsid w:val="002F2FC9"/>
    <w:rsid w:val="002F3B87"/>
    <w:rsid w:val="002F3F5E"/>
    <w:rsid w:val="002F4570"/>
    <w:rsid w:val="002F4FF9"/>
    <w:rsid w:val="002F50E4"/>
    <w:rsid w:val="002F5593"/>
    <w:rsid w:val="002F563A"/>
    <w:rsid w:val="002F56F3"/>
    <w:rsid w:val="002F577D"/>
    <w:rsid w:val="002F5BD6"/>
    <w:rsid w:val="002F5D4D"/>
    <w:rsid w:val="002F62A0"/>
    <w:rsid w:val="002F64ED"/>
    <w:rsid w:val="002F6912"/>
    <w:rsid w:val="002F6E70"/>
    <w:rsid w:val="002F7090"/>
    <w:rsid w:val="002F7545"/>
    <w:rsid w:val="002F79E0"/>
    <w:rsid w:val="002F7AE2"/>
    <w:rsid w:val="002F7BDE"/>
    <w:rsid w:val="00300570"/>
    <w:rsid w:val="00300678"/>
    <w:rsid w:val="003007BD"/>
    <w:rsid w:val="00300B74"/>
    <w:rsid w:val="003011CD"/>
    <w:rsid w:val="0030125C"/>
    <w:rsid w:val="0030161A"/>
    <w:rsid w:val="003019C6"/>
    <w:rsid w:val="00302153"/>
    <w:rsid w:val="003025B8"/>
    <w:rsid w:val="00302798"/>
    <w:rsid w:val="00302B5D"/>
    <w:rsid w:val="0030347F"/>
    <w:rsid w:val="003035B6"/>
    <w:rsid w:val="003042C1"/>
    <w:rsid w:val="0030439E"/>
    <w:rsid w:val="003045AA"/>
    <w:rsid w:val="003046EC"/>
    <w:rsid w:val="00304862"/>
    <w:rsid w:val="00304A1C"/>
    <w:rsid w:val="00304B09"/>
    <w:rsid w:val="00304E67"/>
    <w:rsid w:val="00304EA1"/>
    <w:rsid w:val="00305057"/>
    <w:rsid w:val="0030513B"/>
    <w:rsid w:val="00305C67"/>
    <w:rsid w:val="00306296"/>
    <w:rsid w:val="003063DA"/>
    <w:rsid w:val="003065B9"/>
    <w:rsid w:val="0030694E"/>
    <w:rsid w:val="003070CC"/>
    <w:rsid w:val="00307469"/>
    <w:rsid w:val="00307793"/>
    <w:rsid w:val="00307894"/>
    <w:rsid w:val="00307F4E"/>
    <w:rsid w:val="003104C6"/>
    <w:rsid w:val="003107BB"/>
    <w:rsid w:val="00310890"/>
    <w:rsid w:val="00310A65"/>
    <w:rsid w:val="00310F0B"/>
    <w:rsid w:val="00311081"/>
    <w:rsid w:val="0031190C"/>
    <w:rsid w:val="00311AAE"/>
    <w:rsid w:val="00311C26"/>
    <w:rsid w:val="0031225C"/>
    <w:rsid w:val="003124B6"/>
    <w:rsid w:val="00312723"/>
    <w:rsid w:val="0031293F"/>
    <w:rsid w:val="0031312F"/>
    <w:rsid w:val="00313512"/>
    <w:rsid w:val="0031370F"/>
    <w:rsid w:val="00313832"/>
    <w:rsid w:val="0031390A"/>
    <w:rsid w:val="00313EC4"/>
    <w:rsid w:val="00314036"/>
    <w:rsid w:val="00314488"/>
    <w:rsid w:val="00314644"/>
    <w:rsid w:val="00315D50"/>
    <w:rsid w:val="00317437"/>
    <w:rsid w:val="003177EF"/>
    <w:rsid w:val="003178DB"/>
    <w:rsid w:val="00317B2B"/>
    <w:rsid w:val="00317BE5"/>
    <w:rsid w:val="00320B6C"/>
    <w:rsid w:val="00320D19"/>
    <w:rsid w:val="00320F2F"/>
    <w:rsid w:val="00320F5F"/>
    <w:rsid w:val="0032119E"/>
    <w:rsid w:val="00321209"/>
    <w:rsid w:val="0032183C"/>
    <w:rsid w:val="00321CB3"/>
    <w:rsid w:val="00321DAC"/>
    <w:rsid w:val="0032255E"/>
    <w:rsid w:val="00322CF0"/>
    <w:rsid w:val="003231CC"/>
    <w:rsid w:val="0032320B"/>
    <w:rsid w:val="0032383A"/>
    <w:rsid w:val="00323B4A"/>
    <w:rsid w:val="00323BDD"/>
    <w:rsid w:val="00323C4D"/>
    <w:rsid w:val="00324AD3"/>
    <w:rsid w:val="00324D54"/>
    <w:rsid w:val="00324E77"/>
    <w:rsid w:val="0032511B"/>
    <w:rsid w:val="003254D5"/>
    <w:rsid w:val="003256DA"/>
    <w:rsid w:val="00325C93"/>
    <w:rsid w:val="00325E05"/>
    <w:rsid w:val="00325EF0"/>
    <w:rsid w:val="00325F66"/>
    <w:rsid w:val="00326212"/>
    <w:rsid w:val="00326327"/>
    <w:rsid w:val="0032634F"/>
    <w:rsid w:val="00326EC6"/>
    <w:rsid w:val="00327069"/>
    <w:rsid w:val="0032740C"/>
    <w:rsid w:val="0032751F"/>
    <w:rsid w:val="003276E5"/>
    <w:rsid w:val="00327776"/>
    <w:rsid w:val="00327968"/>
    <w:rsid w:val="003301B4"/>
    <w:rsid w:val="0033067B"/>
    <w:rsid w:val="0033071F"/>
    <w:rsid w:val="0033116A"/>
    <w:rsid w:val="003311E5"/>
    <w:rsid w:val="003316B2"/>
    <w:rsid w:val="003317AD"/>
    <w:rsid w:val="00331980"/>
    <w:rsid w:val="00332A90"/>
    <w:rsid w:val="0033302E"/>
    <w:rsid w:val="00333873"/>
    <w:rsid w:val="003338D9"/>
    <w:rsid w:val="003338FF"/>
    <w:rsid w:val="003340F6"/>
    <w:rsid w:val="00334247"/>
    <w:rsid w:val="003347E0"/>
    <w:rsid w:val="00334FF4"/>
    <w:rsid w:val="0033640D"/>
    <w:rsid w:val="003368B8"/>
    <w:rsid w:val="00336AFF"/>
    <w:rsid w:val="00336BBE"/>
    <w:rsid w:val="00336C81"/>
    <w:rsid w:val="00336F6C"/>
    <w:rsid w:val="003370F6"/>
    <w:rsid w:val="003372B1"/>
    <w:rsid w:val="003377CC"/>
    <w:rsid w:val="00337E78"/>
    <w:rsid w:val="00340416"/>
    <w:rsid w:val="00340789"/>
    <w:rsid w:val="00341177"/>
    <w:rsid w:val="00341892"/>
    <w:rsid w:val="003421E6"/>
    <w:rsid w:val="003434B3"/>
    <w:rsid w:val="00343BAC"/>
    <w:rsid w:val="00344212"/>
    <w:rsid w:val="003445A2"/>
    <w:rsid w:val="00344CAD"/>
    <w:rsid w:val="003452C6"/>
    <w:rsid w:val="00345EEE"/>
    <w:rsid w:val="00346B6F"/>
    <w:rsid w:val="003470B5"/>
    <w:rsid w:val="00347B94"/>
    <w:rsid w:val="00347D3D"/>
    <w:rsid w:val="00347D98"/>
    <w:rsid w:val="0035014C"/>
    <w:rsid w:val="003508F0"/>
    <w:rsid w:val="0035094B"/>
    <w:rsid w:val="00350BBA"/>
    <w:rsid w:val="00350D3C"/>
    <w:rsid w:val="003513B4"/>
    <w:rsid w:val="003518F4"/>
    <w:rsid w:val="00351A44"/>
    <w:rsid w:val="00351D0B"/>
    <w:rsid w:val="00351E31"/>
    <w:rsid w:val="003520DC"/>
    <w:rsid w:val="00352439"/>
    <w:rsid w:val="0035288F"/>
    <w:rsid w:val="00352B8C"/>
    <w:rsid w:val="003531A8"/>
    <w:rsid w:val="0035350F"/>
    <w:rsid w:val="00353A7D"/>
    <w:rsid w:val="00353F99"/>
    <w:rsid w:val="0035513E"/>
    <w:rsid w:val="00355704"/>
    <w:rsid w:val="003557BC"/>
    <w:rsid w:val="00355864"/>
    <w:rsid w:val="00355EA9"/>
    <w:rsid w:val="00356031"/>
    <w:rsid w:val="0035614C"/>
    <w:rsid w:val="00356BD6"/>
    <w:rsid w:val="00356CF0"/>
    <w:rsid w:val="00357360"/>
    <w:rsid w:val="00357856"/>
    <w:rsid w:val="00357943"/>
    <w:rsid w:val="0036029A"/>
    <w:rsid w:val="0036048C"/>
    <w:rsid w:val="003608A6"/>
    <w:rsid w:val="00360E3A"/>
    <w:rsid w:val="0036119D"/>
    <w:rsid w:val="003613AA"/>
    <w:rsid w:val="00361DD4"/>
    <w:rsid w:val="003622D6"/>
    <w:rsid w:val="0036242A"/>
    <w:rsid w:val="003631CF"/>
    <w:rsid w:val="0036347F"/>
    <w:rsid w:val="00363DEA"/>
    <w:rsid w:val="00363FA3"/>
    <w:rsid w:val="00363FCE"/>
    <w:rsid w:val="00364205"/>
    <w:rsid w:val="003646BE"/>
    <w:rsid w:val="00364BA9"/>
    <w:rsid w:val="003651E8"/>
    <w:rsid w:val="00365222"/>
    <w:rsid w:val="00365494"/>
    <w:rsid w:val="00365C17"/>
    <w:rsid w:val="00366091"/>
    <w:rsid w:val="003663BE"/>
    <w:rsid w:val="003664D2"/>
    <w:rsid w:val="003664E6"/>
    <w:rsid w:val="0036667E"/>
    <w:rsid w:val="0036775C"/>
    <w:rsid w:val="00367986"/>
    <w:rsid w:val="00367E34"/>
    <w:rsid w:val="003703F4"/>
    <w:rsid w:val="00371334"/>
    <w:rsid w:val="0037208E"/>
    <w:rsid w:val="003723FE"/>
    <w:rsid w:val="00372521"/>
    <w:rsid w:val="00372E25"/>
    <w:rsid w:val="0037304A"/>
    <w:rsid w:val="003733E8"/>
    <w:rsid w:val="00373477"/>
    <w:rsid w:val="003736F2"/>
    <w:rsid w:val="00373775"/>
    <w:rsid w:val="003740AA"/>
    <w:rsid w:val="00374481"/>
    <w:rsid w:val="00374BA9"/>
    <w:rsid w:val="003755DD"/>
    <w:rsid w:val="00375D66"/>
    <w:rsid w:val="00375E4D"/>
    <w:rsid w:val="003767FB"/>
    <w:rsid w:val="00376C27"/>
    <w:rsid w:val="003770BC"/>
    <w:rsid w:val="003772CE"/>
    <w:rsid w:val="0037753A"/>
    <w:rsid w:val="003775E6"/>
    <w:rsid w:val="00377952"/>
    <w:rsid w:val="00377D16"/>
    <w:rsid w:val="00380061"/>
    <w:rsid w:val="003800E1"/>
    <w:rsid w:val="0038036E"/>
    <w:rsid w:val="00380442"/>
    <w:rsid w:val="003805CE"/>
    <w:rsid w:val="00380C08"/>
    <w:rsid w:val="003819B0"/>
    <w:rsid w:val="00381D7F"/>
    <w:rsid w:val="00382061"/>
    <w:rsid w:val="003826A6"/>
    <w:rsid w:val="00382C23"/>
    <w:rsid w:val="00382C7A"/>
    <w:rsid w:val="00382FD8"/>
    <w:rsid w:val="00383177"/>
    <w:rsid w:val="00383463"/>
    <w:rsid w:val="003835BA"/>
    <w:rsid w:val="0038455D"/>
    <w:rsid w:val="003846BB"/>
    <w:rsid w:val="00384849"/>
    <w:rsid w:val="0038487A"/>
    <w:rsid w:val="0038492E"/>
    <w:rsid w:val="00384C71"/>
    <w:rsid w:val="00384CAD"/>
    <w:rsid w:val="003857F0"/>
    <w:rsid w:val="00385A4D"/>
    <w:rsid w:val="00385BF1"/>
    <w:rsid w:val="00385C6A"/>
    <w:rsid w:val="00385D01"/>
    <w:rsid w:val="00385DBC"/>
    <w:rsid w:val="003866D6"/>
    <w:rsid w:val="00386797"/>
    <w:rsid w:val="003869AC"/>
    <w:rsid w:val="00386EC0"/>
    <w:rsid w:val="0038715A"/>
    <w:rsid w:val="00387224"/>
    <w:rsid w:val="00387457"/>
    <w:rsid w:val="00387BE0"/>
    <w:rsid w:val="00390237"/>
    <w:rsid w:val="00390489"/>
    <w:rsid w:val="00391281"/>
    <w:rsid w:val="0039147F"/>
    <w:rsid w:val="00391672"/>
    <w:rsid w:val="003916D8"/>
    <w:rsid w:val="0039179D"/>
    <w:rsid w:val="003918A0"/>
    <w:rsid w:val="00391A5F"/>
    <w:rsid w:val="00391DB0"/>
    <w:rsid w:val="003920C8"/>
    <w:rsid w:val="003921E4"/>
    <w:rsid w:val="00392484"/>
    <w:rsid w:val="003924B5"/>
    <w:rsid w:val="00392636"/>
    <w:rsid w:val="00392983"/>
    <w:rsid w:val="003929EA"/>
    <w:rsid w:val="00392F71"/>
    <w:rsid w:val="0039320B"/>
    <w:rsid w:val="0039320C"/>
    <w:rsid w:val="00393A4F"/>
    <w:rsid w:val="00393F0E"/>
    <w:rsid w:val="00393F86"/>
    <w:rsid w:val="00394049"/>
    <w:rsid w:val="003942B4"/>
    <w:rsid w:val="00394682"/>
    <w:rsid w:val="003947CB"/>
    <w:rsid w:val="00394A16"/>
    <w:rsid w:val="003950BB"/>
    <w:rsid w:val="00395348"/>
    <w:rsid w:val="003958AF"/>
    <w:rsid w:val="00396291"/>
    <w:rsid w:val="00396DAF"/>
    <w:rsid w:val="00396DCF"/>
    <w:rsid w:val="003970FC"/>
    <w:rsid w:val="00397439"/>
    <w:rsid w:val="003978CE"/>
    <w:rsid w:val="00397AFA"/>
    <w:rsid w:val="00397EA3"/>
    <w:rsid w:val="003A01F5"/>
    <w:rsid w:val="003A06B7"/>
    <w:rsid w:val="003A0A0A"/>
    <w:rsid w:val="003A0C0A"/>
    <w:rsid w:val="003A10E5"/>
    <w:rsid w:val="003A133D"/>
    <w:rsid w:val="003A174D"/>
    <w:rsid w:val="003A188A"/>
    <w:rsid w:val="003A2388"/>
    <w:rsid w:val="003A2856"/>
    <w:rsid w:val="003A2B05"/>
    <w:rsid w:val="003A2CB8"/>
    <w:rsid w:val="003A2D93"/>
    <w:rsid w:val="003A33DD"/>
    <w:rsid w:val="003A3D68"/>
    <w:rsid w:val="003A4276"/>
    <w:rsid w:val="003A4492"/>
    <w:rsid w:val="003A4C3F"/>
    <w:rsid w:val="003A4E17"/>
    <w:rsid w:val="003A649C"/>
    <w:rsid w:val="003A66D7"/>
    <w:rsid w:val="003A6E66"/>
    <w:rsid w:val="003A716D"/>
    <w:rsid w:val="003A7A52"/>
    <w:rsid w:val="003A7BBD"/>
    <w:rsid w:val="003B0489"/>
    <w:rsid w:val="003B06DD"/>
    <w:rsid w:val="003B09AF"/>
    <w:rsid w:val="003B0C1D"/>
    <w:rsid w:val="003B0CE4"/>
    <w:rsid w:val="003B11DC"/>
    <w:rsid w:val="003B179D"/>
    <w:rsid w:val="003B1807"/>
    <w:rsid w:val="003B1847"/>
    <w:rsid w:val="003B1848"/>
    <w:rsid w:val="003B1DBB"/>
    <w:rsid w:val="003B235E"/>
    <w:rsid w:val="003B25F3"/>
    <w:rsid w:val="003B2633"/>
    <w:rsid w:val="003B2687"/>
    <w:rsid w:val="003B29C5"/>
    <w:rsid w:val="003B2A11"/>
    <w:rsid w:val="003B2A8A"/>
    <w:rsid w:val="003B2F88"/>
    <w:rsid w:val="003B3388"/>
    <w:rsid w:val="003B3767"/>
    <w:rsid w:val="003B40FD"/>
    <w:rsid w:val="003B44DD"/>
    <w:rsid w:val="003B47E9"/>
    <w:rsid w:val="003B4873"/>
    <w:rsid w:val="003B4B99"/>
    <w:rsid w:val="003B541B"/>
    <w:rsid w:val="003B5946"/>
    <w:rsid w:val="003B64BA"/>
    <w:rsid w:val="003B6534"/>
    <w:rsid w:val="003B68B1"/>
    <w:rsid w:val="003B6AAB"/>
    <w:rsid w:val="003B6B34"/>
    <w:rsid w:val="003B6CAC"/>
    <w:rsid w:val="003B6D5D"/>
    <w:rsid w:val="003B6F9B"/>
    <w:rsid w:val="003B785F"/>
    <w:rsid w:val="003B7928"/>
    <w:rsid w:val="003B7979"/>
    <w:rsid w:val="003B7A89"/>
    <w:rsid w:val="003B7F31"/>
    <w:rsid w:val="003C05C5"/>
    <w:rsid w:val="003C08C0"/>
    <w:rsid w:val="003C0C74"/>
    <w:rsid w:val="003C10DC"/>
    <w:rsid w:val="003C10EF"/>
    <w:rsid w:val="003C1129"/>
    <w:rsid w:val="003C1653"/>
    <w:rsid w:val="003C1C74"/>
    <w:rsid w:val="003C1F42"/>
    <w:rsid w:val="003C2A68"/>
    <w:rsid w:val="003C2C6D"/>
    <w:rsid w:val="003C2D3A"/>
    <w:rsid w:val="003C3048"/>
    <w:rsid w:val="003C3EE9"/>
    <w:rsid w:val="003C474B"/>
    <w:rsid w:val="003C53F0"/>
    <w:rsid w:val="003C58A8"/>
    <w:rsid w:val="003C61D5"/>
    <w:rsid w:val="003C6BA7"/>
    <w:rsid w:val="003C7AE3"/>
    <w:rsid w:val="003C7E6A"/>
    <w:rsid w:val="003C7F45"/>
    <w:rsid w:val="003C7FEC"/>
    <w:rsid w:val="003D004E"/>
    <w:rsid w:val="003D0800"/>
    <w:rsid w:val="003D0D96"/>
    <w:rsid w:val="003D107C"/>
    <w:rsid w:val="003D137E"/>
    <w:rsid w:val="003D1857"/>
    <w:rsid w:val="003D2174"/>
    <w:rsid w:val="003D2EA9"/>
    <w:rsid w:val="003D2F43"/>
    <w:rsid w:val="003D3874"/>
    <w:rsid w:val="003D38D0"/>
    <w:rsid w:val="003D3CB1"/>
    <w:rsid w:val="003D440C"/>
    <w:rsid w:val="003D4480"/>
    <w:rsid w:val="003D4957"/>
    <w:rsid w:val="003D4E8B"/>
    <w:rsid w:val="003D4F35"/>
    <w:rsid w:val="003D556F"/>
    <w:rsid w:val="003D5578"/>
    <w:rsid w:val="003D59B0"/>
    <w:rsid w:val="003D5B75"/>
    <w:rsid w:val="003D5E03"/>
    <w:rsid w:val="003D6823"/>
    <w:rsid w:val="003D6B7C"/>
    <w:rsid w:val="003D6C27"/>
    <w:rsid w:val="003D77D4"/>
    <w:rsid w:val="003D798D"/>
    <w:rsid w:val="003D79C3"/>
    <w:rsid w:val="003D7F20"/>
    <w:rsid w:val="003E054E"/>
    <w:rsid w:val="003E0572"/>
    <w:rsid w:val="003E06B9"/>
    <w:rsid w:val="003E08A9"/>
    <w:rsid w:val="003E08EC"/>
    <w:rsid w:val="003E0B5E"/>
    <w:rsid w:val="003E0E8F"/>
    <w:rsid w:val="003E133F"/>
    <w:rsid w:val="003E1685"/>
    <w:rsid w:val="003E16CE"/>
    <w:rsid w:val="003E1828"/>
    <w:rsid w:val="003E196E"/>
    <w:rsid w:val="003E1C25"/>
    <w:rsid w:val="003E1C79"/>
    <w:rsid w:val="003E1D43"/>
    <w:rsid w:val="003E230D"/>
    <w:rsid w:val="003E2BCA"/>
    <w:rsid w:val="003E2BD0"/>
    <w:rsid w:val="003E2D6F"/>
    <w:rsid w:val="003E30A9"/>
    <w:rsid w:val="003E375D"/>
    <w:rsid w:val="003E3A24"/>
    <w:rsid w:val="003E407F"/>
    <w:rsid w:val="003E41A8"/>
    <w:rsid w:val="003E46A2"/>
    <w:rsid w:val="003E4B58"/>
    <w:rsid w:val="003E4FC2"/>
    <w:rsid w:val="003E51EB"/>
    <w:rsid w:val="003E52E6"/>
    <w:rsid w:val="003E56DB"/>
    <w:rsid w:val="003E588B"/>
    <w:rsid w:val="003E64E3"/>
    <w:rsid w:val="003E65C1"/>
    <w:rsid w:val="003E6A68"/>
    <w:rsid w:val="003E6C79"/>
    <w:rsid w:val="003E6D07"/>
    <w:rsid w:val="003E6D89"/>
    <w:rsid w:val="003E6F26"/>
    <w:rsid w:val="003E74A2"/>
    <w:rsid w:val="003E761D"/>
    <w:rsid w:val="003E76E7"/>
    <w:rsid w:val="003E792D"/>
    <w:rsid w:val="003E7F0B"/>
    <w:rsid w:val="003F0245"/>
    <w:rsid w:val="003F068F"/>
    <w:rsid w:val="003F095E"/>
    <w:rsid w:val="003F0CAA"/>
    <w:rsid w:val="003F1AE3"/>
    <w:rsid w:val="003F1F3C"/>
    <w:rsid w:val="003F222D"/>
    <w:rsid w:val="003F25A5"/>
    <w:rsid w:val="003F26D7"/>
    <w:rsid w:val="003F2B9C"/>
    <w:rsid w:val="003F33F5"/>
    <w:rsid w:val="003F3668"/>
    <w:rsid w:val="003F374F"/>
    <w:rsid w:val="003F3C07"/>
    <w:rsid w:val="003F3D63"/>
    <w:rsid w:val="003F4261"/>
    <w:rsid w:val="003F4A35"/>
    <w:rsid w:val="003F50B8"/>
    <w:rsid w:val="003F5147"/>
    <w:rsid w:val="003F57F9"/>
    <w:rsid w:val="003F5A5E"/>
    <w:rsid w:val="003F5F9A"/>
    <w:rsid w:val="003F6019"/>
    <w:rsid w:val="003F621D"/>
    <w:rsid w:val="003F62E3"/>
    <w:rsid w:val="003F63C8"/>
    <w:rsid w:val="003F6833"/>
    <w:rsid w:val="003F7145"/>
    <w:rsid w:val="003F7167"/>
    <w:rsid w:val="003F7273"/>
    <w:rsid w:val="003F75AE"/>
    <w:rsid w:val="003F7C31"/>
    <w:rsid w:val="003F7E67"/>
    <w:rsid w:val="0040005F"/>
    <w:rsid w:val="00400095"/>
    <w:rsid w:val="0040034A"/>
    <w:rsid w:val="004003BF"/>
    <w:rsid w:val="004009D6"/>
    <w:rsid w:val="00400D47"/>
    <w:rsid w:val="004015A9"/>
    <w:rsid w:val="00402C7F"/>
    <w:rsid w:val="00402EDD"/>
    <w:rsid w:val="0040306C"/>
    <w:rsid w:val="0040351E"/>
    <w:rsid w:val="004035B5"/>
    <w:rsid w:val="00403A1A"/>
    <w:rsid w:val="00404046"/>
    <w:rsid w:val="0040411F"/>
    <w:rsid w:val="0040460A"/>
    <w:rsid w:val="004046CE"/>
    <w:rsid w:val="00404833"/>
    <w:rsid w:val="00404C46"/>
    <w:rsid w:val="0040542A"/>
    <w:rsid w:val="00405766"/>
    <w:rsid w:val="00405BA1"/>
    <w:rsid w:val="0040614E"/>
    <w:rsid w:val="00406D83"/>
    <w:rsid w:val="00407C58"/>
    <w:rsid w:val="00410955"/>
    <w:rsid w:val="00410D2E"/>
    <w:rsid w:val="00411072"/>
    <w:rsid w:val="004115B6"/>
    <w:rsid w:val="00411C8F"/>
    <w:rsid w:val="00412976"/>
    <w:rsid w:val="0041311B"/>
    <w:rsid w:val="004132CD"/>
    <w:rsid w:val="00414372"/>
    <w:rsid w:val="00414681"/>
    <w:rsid w:val="004147FE"/>
    <w:rsid w:val="00414CA0"/>
    <w:rsid w:val="00414FB3"/>
    <w:rsid w:val="00415119"/>
    <w:rsid w:val="0041582E"/>
    <w:rsid w:val="0041593F"/>
    <w:rsid w:val="00415A44"/>
    <w:rsid w:val="00415F3F"/>
    <w:rsid w:val="00416001"/>
    <w:rsid w:val="00416470"/>
    <w:rsid w:val="00416C75"/>
    <w:rsid w:val="00417042"/>
    <w:rsid w:val="004175D9"/>
    <w:rsid w:val="0041761D"/>
    <w:rsid w:val="00417782"/>
    <w:rsid w:val="00417A14"/>
    <w:rsid w:val="00417B54"/>
    <w:rsid w:val="00417D0F"/>
    <w:rsid w:val="00417E17"/>
    <w:rsid w:val="00417ED7"/>
    <w:rsid w:val="0042038A"/>
    <w:rsid w:val="0042070F"/>
    <w:rsid w:val="004207A5"/>
    <w:rsid w:val="00420906"/>
    <w:rsid w:val="00420BDC"/>
    <w:rsid w:val="004210E6"/>
    <w:rsid w:val="00421342"/>
    <w:rsid w:val="00421A87"/>
    <w:rsid w:val="00421D40"/>
    <w:rsid w:val="00422068"/>
    <w:rsid w:val="004222FD"/>
    <w:rsid w:val="00422551"/>
    <w:rsid w:val="0042282F"/>
    <w:rsid w:val="00422855"/>
    <w:rsid w:val="004228A5"/>
    <w:rsid w:val="00423337"/>
    <w:rsid w:val="0042335F"/>
    <w:rsid w:val="00423632"/>
    <w:rsid w:val="004237FA"/>
    <w:rsid w:val="004241DF"/>
    <w:rsid w:val="00424287"/>
    <w:rsid w:val="004242AB"/>
    <w:rsid w:val="00424578"/>
    <w:rsid w:val="004246A9"/>
    <w:rsid w:val="004250CD"/>
    <w:rsid w:val="004250F2"/>
    <w:rsid w:val="0042510A"/>
    <w:rsid w:val="00425535"/>
    <w:rsid w:val="0042575B"/>
    <w:rsid w:val="00425939"/>
    <w:rsid w:val="0042637A"/>
    <w:rsid w:val="00426943"/>
    <w:rsid w:val="004269D2"/>
    <w:rsid w:val="00426ABF"/>
    <w:rsid w:val="00427269"/>
    <w:rsid w:val="00427294"/>
    <w:rsid w:val="004274CE"/>
    <w:rsid w:val="00427643"/>
    <w:rsid w:val="0042790B"/>
    <w:rsid w:val="00430257"/>
    <w:rsid w:val="00430355"/>
    <w:rsid w:val="00430533"/>
    <w:rsid w:val="0043065E"/>
    <w:rsid w:val="00430CE1"/>
    <w:rsid w:val="00431742"/>
    <w:rsid w:val="00431826"/>
    <w:rsid w:val="00431970"/>
    <w:rsid w:val="00431AC1"/>
    <w:rsid w:val="00431D08"/>
    <w:rsid w:val="004322BE"/>
    <w:rsid w:val="004326DA"/>
    <w:rsid w:val="0043360B"/>
    <w:rsid w:val="004338DC"/>
    <w:rsid w:val="00433ADB"/>
    <w:rsid w:val="00433CF0"/>
    <w:rsid w:val="00433FE4"/>
    <w:rsid w:val="00434D81"/>
    <w:rsid w:val="0043508A"/>
    <w:rsid w:val="00435090"/>
    <w:rsid w:val="00435281"/>
    <w:rsid w:val="0043550A"/>
    <w:rsid w:val="00435BE8"/>
    <w:rsid w:val="00435C2F"/>
    <w:rsid w:val="00435FBC"/>
    <w:rsid w:val="00436129"/>
    <w:rsid w:val="00436333"/>
    <w:rsid w:val="004364A5"/>
    <w:rsid w:val="004365C3"/>
    <w:rsid w:val="0043665A"/>
    <w:rsid w:val="00436EAF"/>
    <w:rsid w:val="0043722E"/>
    <w:rsid w:val="00437D7C"/>
    <w:rsid w:val="00440250"/>
    <w:rsid w:val="0044032A"/>
    <w:rsid w:val="004405C6"/>
    <w:rsid w:val="00440989"/>
    <w:rsid w:val="00440A13"/>
    <w:rsid w:val="00440B09"/>
    <w:rsid w:val="00440DFD"/>
    <w:rsid w:val="00440E85"/>
    <w:rsid w:val="00440FE6"/>
    <w:rsid w:val="00441E61"/>
    <w:rsid w:val="0044233D"/>
    <w:rsid w:val="00442A30"/>
    <w:rsid w:val="00442C26"/>
    <w:rsid w:val="00442E63"/>
    <w:rsid w:val="00443AB7"/>
    <w:rsid w:val="00443E63"/>
    <w:rsid w:val="00443F80"/>
    <w:rsid w:val="0044401C"/>
    <w:rsid w:val="00444984"/>
    <w:rsid w:val="00444DD3"/>
    <w:rsid w:val="00444E5D"/>
    <w:rsid w:val="0044561C"/>
    <w:rsid w:val="00445719"/>
    <w:rsid w:val="00445CAF"/>
    <w:rsid w:val="00445E9E"/>
    <w:rsid w:val="00446443"/>
    <w:rsid w:val="00446875"/>
    <w:rsid w:val="00446B99"/>
    <w:rsid w:val="004470EB"/>
    <w:rsid w:val="004474B2"/>
    <w:rsid w:val="00447784"/>
    <w:rsid w:val="00447DEF"/>
    <w:rsid w:val="004501DB"/>
    <w:rsid w:val="004504CF"/>
    <w:rsid w:val="0045057C"/>
    <w:rsid w:val="0045098C"/>
    <w:rsid w:val="00451047"/>
    <w:rsid w:val="00451117"/>
    <w:rsid w:val="00451902"/>
    <w:rsid w:val="00451919"/>
    <w:rsid w:val="00451B6A"/>
    <w:rsid w:val="00452B6F"/>
    <w:rsid w:val="00452B95"/>
    <w:rsid w:val="00452DA2"/>
    <w:rsid w:val="00452DF8"/>
    <w:rsid w:val="004532CB"/>
    <w:rsid w:val="00453B10"/>
    <w:rsid w:val="00453D58"/>
    <w:rsid w:val="00453D8B"/>
    <w:rsid w:val="004545E1"/>
    <w:rsid w:val="00454808"/>
    <w:rsid w:val="0045499C"/>
    <w:rsid w:val="004549CC"/>
    <w:rsid w:val="00454B09"/>
    <w:rsid w:val="00454F3D"/>
    <w:rsid w:val="0045505E"/>
    <w:rsid w:val="0045567A"/>
    <w:rsid w:val="004557EB"/>
    <w:rsid w:val="00456333"/>
    <w:rsid w:val="00456367"/>
    <w:rsid w:val="00456A52"/>
    <w:rsid w:val="00456C5C"/>
    <w:rsid w:val="00456FD0"/>
    <w:rsid w:val="00457089"/>
    <w:rsid w:val="004575F5"/>
    <w:rsid w:val="00457F70"/>
    <w:rsid w:val="004603BD"/>
    <w:rsid w:val="004607EF"/>
    <w:rsid w:val="00460CC5"/>
    <w:rsid w:val="00460D3A"/>
    <w:rsid w:val="00460EC4"/>
    <w:rsid w:val="004615C7"/>
    <w:rsid w:val="00461A0B"/>
    <w:rsid w:val="00461FBA"/>
    <w:rsid w:val="004621E0"/>
    <w:rsid w:val="00462340"/>
    <w:rsid w:val="00462AA9"/>
    <w:rsid w:val="00462F50"/>
    <w:rsid w:val="00462F6D"/>
    <w:rsid w:val="00463604"/>
    <w:rsid w:val="00463A9D"/>
    <w:rsid w:val="00463C93"/>
    <w:rsid w:val="004644D4"/>
    <w:rsid w:val="004647C5"/>
    <w:rsid w:val="00464B6F"/>
    <w:rsid w:val="00464F0A"/>
    <w:rsid w:val="00464FDE"/>
    <w:rsid w:val="00465086"/>
    <w:rsid w:val="0046549B"/>
    <w:rsid w:val="00465B78"/>
    <w:rsid w:val="0046633E"/>
    <w:rsid w:val="00466786"/>
    <w:rsid w:val="004668D4"/>
    <w:rsid w:val="00466CB6"/>
    <w:rsid w:val="00466F62"/>
    <w:rsid w:val="00467A75"/>
    <w:rsid w:val="00467B67"/>
    <w:rsid w:val="00467DD2"/>
    <w:rsid w:val="004711DD"/>
    <w:rsid w:val="004714CC"/>
    <w:rsid w:val="00471BF5"/>
    <w:rsid w:val="00471CE8"/>
    <w:rsid w:val="00472478"/>
    <w:rsid w:val="00472501"/>
    <w:rsid w:val="0047264A"/>
    <w:rsid w:val="004727DA"/>
    <w:rsid w:val="00472CF9"/>
    <w:rsid w:val="004744FC"/>
    <w:rsid w:val="0047459C"/>
    <w:rsid w:val="00474696"/>
    <w:rsid w:val="00475391"/>
    <w:rsid w:val="004758B6"/>
    <w:rsid w:val="004759DD"/>
    <w:rsid w:val="00475D1D"/>
    <w:rsid w:val="00476378"/>
    <w:rsid w:val="00476483"/>
    <w:rsid w:val="00476A45"/>
    <w:rsid w:val="004772B0"/>
    <w:rsid w:val="004775FF"/>
    <w:rsid w:val="0047781C"/>
    <w:rsid w:val="00477BF0"/>
    <w:rsid w:val="00477E51"/>
    <w:rsid w:val="004802F8"/>
    <w:rsid w:val="004807E2"/>
    <w:rsid w:val="00481262"/>
    <w:rsid w:val="00481330"/>
    <w:rsid w:val="004816C0"/>
    <w:rsid w:val="00482154"/>
    <w:rsid w:val="0048249D"/>
    <w:rsid w:val="00482613"/>
    <w:rsid w:val="00482772"/>
    <w:rsid w:val="00482E4D"/>
    <w:rsid w:val="0048374B"/>
    <w:rsid w:val="00483915"/>
    <w:rsid w:val="00483961"/>
    <w:rsid w:val="00483F51"/>
    <w:rsid w:val="00484689"/>
    <w:rsid w:val="00485404"/>
    <w:rsid w:val="004862F6"/>
    <w:rsid w:val="004864EE"/>
    <w:rsid w:val="00486F23"/>
    <w:rsid w:val="0048715D"/>
    <w:rsid w:val="00487573"/>
    <w:rsid w:val="00487988"/>
    <w:rsid w:val="00487E2E"/>
    <w:rsid w:val="00487F06"/>
    <w:rsid w:val="0049081D"/>
    <w:rsid w:val="00490F20"/>
    <w:rsid w:val="0049111E"/>
    <w:rsid w:val="004913F4"/>
    <w:rsid w:val="004918EE"/>
    <w:rsid w:val="00491D6A"/>
    <w:rsid w:val="0049217B"/>
    <w:rsid w:val="00492723"/>
    <w:rsid w:val="0049285F"/>
    <w:rsid w:val="004934EC"/>
    <w:rsid w:val="00493CC0"/>
    <w:rsid w:val="00493ED5"/>
    <w:rsid w:val="00494E3E"/>
    <w:rsid w:val="004950AA"/>
    <w:rsid w:val="0049519F"/>
    <w:rsid w:val="004956D7"/>
    <w:rsid w:val="00495B44"/>
    <w:rsid w:val="00495C1C"/>
    <w:rsid w:val="00495D22"/>
    <w:rsid w:val="00495F71"/>
    <w:rsid w:val="00495F9C"/>
    <w:rsid w:val="0049612C"/>
    <w:rsid w:val="0049615B"/>
    <w:rsid w:val="0049637D"/>
    <w:rsid w:val="0049655C"/>
    <w:rsid w:val="00496E06"/>
    <w:rsid w:val="00497412"/>
    <w:rsid w:val="0049796D"/>
    <w:rsid w:val="00497C9A"/>
    <w:rsid w:val="00497DE6"/>
    <w:rsid w:val="004A0779"/>
    <w:rsid w:val="004A0963"/>
    <w:rsid w:val="004A0EBF"/>
    <w:rsid w:val="004A0ED2"/>
    <w:rsid w:val="004A10FE"/>
    <w:rsid w:val="004A1558"/>
    <w:rsid w:val="004A156D"/>
    <w:rsid w:val="004A163C"/>
    <w:rsid w:val="004A1EC6"/>
    <w:rsid w:val="004A2034"/>
    <w:rsid w:val="004A2199"/>
    <w:rsid w:val="004A2585"/>
    <w:rsid w:val="004A3A84"/>
    <w:rsid w:val="004A3B54"/>
    <w:rsid w:val="004A3D12"/>
    <w:rsid w:val="004A3D48"/>
    <w:rsid w:val="004A3DFC"/>
    <w:rsid w:val="004A40B8"/>
    <w:rsid w:val="004A42B7"/>
    <w:rsid w:val="004A5599"/>
    <w:rsid w:val="004A5606"/>
    <w:rsid w:val="004A6602"/>
    <w:rsid w:val="004A6848"/>
    <w:rsid w:val="004A6B2A"/>
    <w:rsid w:val="004A76F3"/>
    <w:rsid w:val="004A7F9F"/>
    <w:rsid w:val="004B0609"/>
    <w:rsid w:val="004B08C6"/>
    <w:rsid w:val="004B08DA"/>
    <w:rsid w:val="004B0E88"/>
    <w:rsid w:val="004B0F85"/>
    <w:rsid w:val="004B1989"/>
    <w:rsid w:val="004B1B74"/>
    <w:rsid w:val="004B1F21"/>
    <w:rsid w:val="004B20A4"/>
    <w:rsid w:val="004B21BC"/>
    <w:rsid w:val="004B24C2"/>
    <w:rsid w:val="004B25FD"/>
    <w:rsid w:val="004B343F"/>
    <w:rsid w:val="004B3469"/>
    <w:rsid w:val="004B351B"/>
    <w:rsid w:val="004B374F"/>
    <w:rsid w:val="004B3A3A"/>
    <w:rsid w:val="004B3CB8"/>
    <w:rsid w:val="004B3E94"/>
    <w:rsid w:val="004B410F"/>
    <w:rsid w:val="004B4191"/>
    <w:rsid w:val="004B44BC"/>
    <w:rsid w:val="004B4F3C"/>
    <w:rsid w:val="004B5421"/>
    <w:rsid w:val="004B56C8"/>
    <w:rsid w:val="004B5B28"/>
    <w:rsid w:val="004B5BFA"/>
    <w:rsid w:val="004B5C16"/>
    <w:rsid w:val="004B5D07"/>
    <w:rsid w:val="004B66F4"/>
    <w:rsid w:val="004B6BF0"/>
    <w:rsid w:val="004B758B"/>
    <w:rsid w:val="004B78F0"/>
    <w:rsid w:val="004B7DD9"/>
    <w:rsid w:val="004B7E98"/>
    <w:rsid w:val="004B7EC2"/>
    <w:rsid w:val="004B7F1E"/>
    <w:rsid w:val="004C001C"/>
    <w:rsid w:val="004C03AD"/>
    <w:rsid w:val="004C0771"/>
    <w:rsid w:val="004C1563"/>
    <w:rsid w:val="004C17BE"/>
    <w:rsid w:val="004C1A1B"/>
    <w:rsid w:val="004C1BD4"/>
    <w:rsid w:val="004C1F6B"/>
    <w:rsid w:val="004C22A5"/>
    <w:rsid w:val="004C2D41"/>
    <w:rsid w:val="004C310F"/>
    <w:rsid w:val="004C3128"/>
    <w:rsid w:val="004C32C5"/>
    <w:rsid w:val="004C3623"/>
    <w:rsid w:val="004C3E88"/>
    <w:rsid w:val="004C42C8"/>
    <w:rsid w:val="004C4FB2"/>
    <w:rsid w:val="004C544D"/>
    <w:rsid w:val="004C56BB"/>
    <w:rsid w:val="004C60BD"/>
    <w:rsid w:val="004C60E9"/>
    <w:rsid w:val="004C6755"/>
    <w:rsid w:val="004C6CE8"/>
    <w:rsid w:val="004C6EDE"/>
    <w:rsid w:val="004C7128"/>
    <w:rsid w:val="004C7252"/>
    <w:rsid w:val="004D080B"/>
    <w:rsid w:val="004D0C41"/>
    <w:rsid w:val="004D0F37"/>
    <w:rsid w:val="004D199D"/>
    <w:rsid w:val="004D1E13"/>
    <w:rsid w:val="004D2DB7"/>
    <w:rsid w:val="004D317D"/>
    <w:rsid w:val="004D34EC"/>
    <w:rsid w:val="004D3B37"/>
    <w:rsid w:val="004D3BB1"/>
    <w:rsid w:val="004D3C60"/>
    <w:rsid w:val="004D3D64"/>
    <w:rsid w:val="004D4199"/>
    <w:rsid w:val="004D470E"/>
    <w:rsid w:val="004D4792"/>
    <w:rsid w:val="004D493C"/>
    <w:rsid w:val="004D4A5D"/>
    <w:rsid w:val="004D4BEC"/>
    <w:rsid w:val="004D4C8A"/>
    <w:rsid w:val="004D5236"/>
    <w:rsid w:val="004D5367"/>
    <w:rsid w:val="004D555E"/>
    <w:rsid w:val="004D5600"/>
    <w:rsid w:val="004D56D1"/>
    <w:rsid w:val="004D5F40"/>
    <w:rsid w:val="004D6760"/>
    <w:rsid w:val="004D6AC6"/>
    <w:rsid w:val="004D6C34"/>
    <w:rsid w:val="004D747F"/>
    <w:rsid w:val="004D755A"/>
    <w:rsid w:val="004D7B60"/>
    <w:rsid w:val="004D7C8E"/>
    <w:rsid w:val="004D7E14"/>
    <w:rsid w:val="004E044B"/>
    <w:rsid w:val="004E08E1"/>
    <w:rsid w:val="004E106F"/>
    <w:rsid w:val="004E111C"/>
    <w:rsid w:val="004E1218"/>
    <w:rsid w:val="004E166C"/>
    <w:rsid w:val="004E18F5"/>
    <w:rsid w:val="004E1F4D"/>
    <w:rsid w:val="004E202A"/>
    <w:rsid w:val="004E2321"/>
    <w:rsid w:val="004E2688"/>
    <w:rsid w:val="004E2700"/>
    <w:rsid w:val="004E2866"/>
    <w:rsid w:val="004E2ACE"/>
    <w:rsid w:val="004E2CC7"/>
    <w:rsid w:val="004E2E40"/>
    <w:rsid w:val="004E37F6"/>
    <w:rsid w:val="004E389C"/>
    <w:rsid w:val="004E3CFE"/>
    <w:rsid w:val="004E3E60"/>
    <w:rsid w:val="004E468B"/>
    <w:rsid w:val="004E47E8"/>
    <w:rsid w:val="004E4A96"/>
    <w:rsid w:val="004E4E4B"/>
    <w:rsid w:val="004E5A18"/>
    <w:rsid w:val="004E6270"/>
    <w:rsid w:val="004E6A37"/>
    <w:rsid w:val="004E6E96"/>
    <w:rsid w:val="004E71C8"/>
    <w:rsid w:val="004E7215"/>
    <w:rsid w:val="004E75FD"/>
    <w:rsid w:val="004E799C"/>
    <w:rsid w:val="004E7ACB"/>
    <w:rsid w:val="004E7C42"/>
    <w:rsid w:val="004E7F10"/>
    <w:rsid w:val="004F088F"/>
    <w:rsid w:val="004F0AC1"/>
    <w:rsid w:val="004F0BB7"/>
    <w:rsid w:val="004F0F4B"/>
    <w:rsid w:val="004F152C"/>
    <w:rsid w:val="004F2478"/>
    <w:rsid w:val="004F257F"/>
    <w:rsid w:val="004F2AF9"/>
    <w:rsid w:val="004F2BA9"/>
    <w:rsid w:val="004F2E72"/>
    <w:rsid w:val="004F2F61"/>
    <w:rsid w:val="004F30AB"/>
    <w:rsid w:val="004F37A6"/>
    <w:rsid w:val="004F44C7"/>
    <w:rsid w:val="004F502A"/>
    <w:rsid w:val="004F58CA"/>
    <w:rsid w:val="004F5A1D"/>
    <w:rsid w:val="004F5DF0"/>
    <w:rsid w:val="004F5E4E"/>
    <w:rsid w:val="004F6062"/>
    <w:rsid w:val="004F64A7"/>
    <w:rsid w:val="004F6646"/>
    <w:rsid w:val="004F66FB"/>
    <w:rsid w:val="004F6AFC"/>
    <w:rsid w:val="004F6F47"/>
    <w:rsid w:val="004F707E"/>
    <w:rsid w:val="004F7103"/>
    <w:rsid w:val="004F72C1"/>
    <w:rsid w:val="004F739A"/>
    <w:rsid w:val="004F7468"/>
    <w:rsid w:val="004F7683"/>
    <w:rsid w:val="004F7823"/>
    <w:rsid w:val="00500120"/>
    <w:rsid w:val="005003F5"/>
    <w:rsid w:val="00500407"/>
    <w:rsid w:val="00500BA7"/>
    <w:rsid w:val="00501185"/>
    <w:rsid w:val="0050163A"/>
    <w:rsid w:val="005018E7"/>
    <w:rsid w:val="00501BDC"/>
    <w:rsid w:val="00501DEA"/>
    <w:rsid w:val="00502006"/>
    <w:rsid w:val="00502120"/>
    <w:rsid w:val="00502124"/>
    <w:rsid w:val="00502176"/>
    <w:rsid w:val="00502322"/>
    <w:rsid w:val="0050253A"/>
    <w:rsid w:val="005025FF"/>
    <w:rsid w:val="0050275D"/>
    <w:rsid w:val="0050287E"/>
    <w:rsid w:val="00502D6E"/>
    <w:rsid w:val="0050310C"/>
    <w:rsid w:val="005032D4"/>
    <w:rsid w:val="00503628"/>
    <w:rsid w:val="005038B2"/>
    <w:rsid w:val="00503A20"/>
    <w:rsid w:val="00503AB0"/>
    <w:rsid w:val="00503B55"/>
    <w:rsid w:val="00503CC3"/>
    <w:rsid w:val="00503DB8"/>
    <w:rsid w:val="00504179"/>
    <w:rsid w:val="005047F4"/>
    <w:rsid w:val="005048F6"/>
    <w:rsid w:val="00504E54"/>
    <w:rsid w:val="005051F2"/>
    <w:rsid w:val="0050553C"/>
    <w:rsid w:val="005058B3"/>
    <w:rsid w:val="00505A64"/>
    <w:rsid w:val="00505CAD"/>
    <w:rsid w:val="00505F66"/>
    <w:rsid w:val="0050667E"/>
    <w:rsid w:val="0050672F"/>
    <w:rsid w:val="00506D98"/>
    <w:rsid w:val="00506E43"/>
    <w:rsid w:val="00507418"/>
    <w:rsid w:val="00507520"/>
    <w:rsid w:val="0050777F"/>
    <w:rsid w:val="00507FE1"/>
    <w:rsid w:val="00510215"/>
    <w:rsid w:val="005102DC"/>
    <w:rsid w:val="005103F1"/>
    <w:rsid w:val="00510427"/>
    <w:rsid w:val="0051061C"/>
    <w:rsid w:val="005106A9"/>
    <w:rsid w:val="005108D1"/>
    <w:rsid w:val="00510AE2"/>
    <w:rsid w:val="00510B9D"/>
    <w:rsid w:val="00510E58"/>
    <w:rsid w:val="0051132D"/>
    <w:rsid w:val="00511815"/>
    <w:rsid w:val="0051194A"/>
    <w:rsid w:val="00511994"/>
    <w:rsid w:val="0051272F"/>
    <w:rsid w:val="0051307E"/>
    <w:rsid w:val="005130F3"/>
    <w:rsid w:val="00513293"/>
    <w:rsid w:val="0051445E"/>
    <w:rsid w:val="00514607"/>
    <w:rsid w:val="005148D9"/>
    <w:rsid w:val="00515284"/>
    <w:rsid w:val="00515288"/>
    <w:rsid w:val="005152D5"/>
    <w:rsid w:val="005157C1"/>
    <w:rsid w:val="00515FE7"/>
    <w:rsid w:val="00516026"/>
    <w:rsid w:val="0051636C"/>
    <w:rsid w:val="00516406"/>
    <w:rsid w:val="0051666B"/>
    <w:rsid w:val="00516C7B"/>
    <w:rsid w:val="00516DB1"/>
    <w:rsid w:val="00516ECB"/>
    <w:rsid w:val="00516EF3"/>
    <w:rsid w:val="00516F3E"/>
    <w:rsid w:val="0051733B"/>
    <w:rsid w:val="00517448"/>
    <w:rsid w:val="0051752C"/>
    <w:rsid w:val="005206CA"/>
    <w:rsid w:val="005206ED"/>
    <w:rsid w:val="00520825"/>
    <w:rsid w:val="00520826"/>
    <w:rsid w:val="00520991"/>
    <w:rsid w:val="00520C4F"/>
    <w:rsid w:val="00520CD7"/>
    <w:rsid w:val="00520D65"/>
    <w:rsid w:val="00520E3D"/>
    <w:rsid w:val="00520F06"/>
    <w:rsid w:val="00521211"/>
    <w:rsid w:val="0052201F"/>
    <w:rsid w:val="0052220B"/>
    <w:rsid w:val="005222BC"/>
    <w:rsid w:val="0052254E"/>
    <w:rsid w:val="0052274D"/>
    <w:rsid w:val="00522F20"/>
    <w:rsid w:val="0052318F"/>
    <w:rsid w:val="00523369"/>
    <w:rsid w:val="00523443"/>
    <w:rsid w:val="00523531"/>
    <w:rsid w:val="00523A13"/>
    <w:rsid w:val="005242AE"/>
    <w:rsid w:val="00524861"/>
    <w:rsid w:val="00524864"/>
    <w:rsid w:val="005248C7"/>
    <w:rsid w:val="00524993"/>
    <w:rsid w:val="00524AEB"/>
    <w:rsid w:val="00524E0F"/>
    <w:rsid w:val="00524E53"/>
    <w:rsid w:val="00524EA6"/>
    <w:rsid w:val="0052506A"/>
    <w:rsid w:val="0052513A"/>
    <w:rsid w:val="00525585"/>
    <w:rsid w:val="00525BD4"/>
    <w:rsid w:val="00526472"/>
    <w:rsid w:val="00526860"/>
    <w:rsid w:val="00526B20"/>
    <w:rsid w:val="00526EE8"/>
    <w:rsid w:val="00526F28"/>
    <w:rsid w:val="00527010"/>
    <w:rsid w:val="0052712E"/>
    <w:rsid w:val="005276B5"/>
    <w:rsid w:val="00527EBD"/>
    <w:rsid w:val="005301B6"/>
    <w:rsid w:val="005302D4"/>
    <w:rsid w:val="00530397"/>
    <w:rsid w:val="00530580"/>
    <w:rsid w:val="0053097C"/>
    <w:rsid w:val="00530D97"/>
    <w:rsid w:val="005313B0"/>
    <w:rsid w:val="005316B9"/>
    <w:rsid w:val="00531708"/>
    <w:rsid w:val="00531741"/>
    <w:rsid w:val="0053195F"/>
    <w:rsid w:val="00531D04"/>
    <w:rsid w:val="005322E6"/>
    <w:rsid w:val="005324A4"/>
    <w:rsid w:val="00532692"/>
    <w:rsid w:val="0053279C"/>
    <w:rsid w:val="005337AD"/>
    <w:rsid w:val="00533B7B"/>
    <w:rsid w:val="00534103"/>
    <w:rsid w:val="005343FE"/>
    <w:rsid w:val="00534408"/>
    <w:rsid w:val="005344D4"/>
    <w:rsid w:val="005345CA"/>
    <w:rsid w:val="00534640"/>
    <w:rsid w:val="00534A45"/>
    <w:rsid w:val="00534E43"/>
    <w:rsid w:val="00534EB3"/>
    <w:rsid w:val="005351C1"/>
    <w:rsid w:val="00535594"/>
    <w:rsid w:val="005357D6"/>
    <w:rsid w:val="00535830"/>
    <w:rsid w:val="005360B1"/>
    <w:rsid w:val="00536642"/>
    <w:rsid w:val="0053666B"/>
    <w:rsid w:val="00536743"/>
    <w:rsid w:val="00536D3D"/>
    <w:rsid w:val="00537880"/>
    <w:rsid w:val="00537B3C"/>
    <w:rsid w:val="00537DCD"/>
    <w:rsid w:val="00540168"/>
    <w:rsid w:val="0054031E"/>
    <w:rsid w:val="00540F5B"/>
    <w:rsid w:val="005412F6"/>
    <w:rsid w:val="00541A7A"/>
    <w:rsid w:val="00541F75"/>
    <w:rsid w:val="005421EB"/>
    <w:rsid w:val="0054220F"/>
    <w:rsid w:val="00542374"/>
    <w:rsid w:val="0054241E"/>
    <w:rsid w:val="00542623"/>
    <w:rsid w:val="00542AD1"/>
    <w:rsid w:val="00542E0B"/>
    <w:rsid w:val="005430D5"/>
    <w:rsid w:val="00543204"/>
    <w:rsid w:val="00543421"/>
    <w:rsid w:val="0054369E"/>
    <w:rsid w:val="00543991"/>
    <w:rsid w:val="00543A6B"/>
    <w:rsid w:val="00543F92"/>
    <w:rsid w:val="005440B2"/>
    <w:rsid w:val="00544638"/>
    <w:rsid w:val="005447DF"/>
    <w:rsid w:val="005448FD"/>
    <w:rsid w:val="00544DC5"/>
    <w:rsid w:val="00544F96"/>
    <w:rsid w:val="0054506E"/>
    <w:rsid w:val="00545250"/>
    <w:rsid w:val="005453BB"/>
    <w:rsid w:val="0054574C"/>
    <w:rsid w:val="00545937"/>
    <w:rsid w:val="00545D47"/>
    <w:rsid w:val="00546327"/>
    <w:rsid w:val="005466C6"/>
    <w:rsid w:val="00546B44"/>
    <w:rsid w:val="00547414"/>
    <w:rsid w:val="0054744B"/>
    <w:rsid w:val="005475E2"/>
    <w:rsid w:val="00547A80"/>
    <w:rsid w:val="00547F03"/>
    <w:rsid w:val="005505DD"/>
    <w:rsid w:val="00550865"/>
    <w:rsid w:val="005508C9"/>
    <w:rsid w:val="00550F52"/>
    <w:rsid w:val="005510F8"/>
    <w:rsid w:val="0055133A"/>
    <w:rsid w:val="00551624"/>
    <w:rsid w:val="00551767"/>
    <w:rsid w:val="00551771"/>
    <w:rsid w:val="005526E8"/>
    <w:rsid w:val="00552828"/>
    <w:rsid w:val="00552878"/>
    <w:rsid w:val="00552A97"/>
    <w:rsid w:val="00552BE9"/>
    <w:rsid w:val="00553976"/>
    <w:rsid w:val="00554681"/>
    <w:rsid w:val="0055469A"/>
    <w:rsid w:val="00554796"/>
    <w:rsid w:val="00554BCD"/>
    <w:rsid w:val="00554D11"/>
    <w:rsid w:val="00554D1C"/>
    <w:rsid w:val="0055590D"/>
    <w:rsid w:val="00555B44"/>
    <w:rsid w:val="0055609B"/>
    <w:rsid w:val="00556238"/>
    <w:rsid w:val="0055655C"/>
    <w:rsid w:val="00556668"/>
    <w:rsid w:val="00556B7D"/>
    <w:rsid w:val="00556CF6"/>
    <w:rsid w:val="00556DC5"/>
    <w:rsid w:val="00556E9C"/>
    <w:rsid w:val="0055766F"/>
    <w:rsid w:val="005579DD"/>
    <w:rsid w:val="00557A50"/>
    <w:rsid w:val="00557C25"/>
    <w:rsid w:val="00557F7C"/>
    <w:rsid w:val="00557FA2"/>
    <w:rsid w:val="0056042D"/>
    <w:rsid w:val="00560588"/>
    <w:rsid w:val="00560F5B"/>
    <w:rsid w:val="00561929"/>
    <w:rsid w:val="00561D53"/>
    <w:rsid w:val="00562242"/>
    <w:rsid w:val="0056230C"/>
    <w:rsid w:val="005626AD"/>
    <w:rsid w:val="00562793"/>
    <w:rsid w:val="005635EA"/>
    <w:rsid w:val="005637A5"/>
    <w:rsid w:val="00563BD4"/>
    <w:rsid w:val="00563CF2"/>
    <w:rsid w:val="00564890"/>
    <w:rsid w:val="00564AA7"/>
    <w:rsid w:val="00564AC0"/>
    <w:rsid w:val="0056586F"/>
    <w:rsid w:val="005658DC"/>
    <w:rsid w:val="0056596F"/>
    <w:rsid w:val="0056597B"/>
    <w:rsid w:val="00565B30"/>
    <w:rsid w:val="00565BF6"/>
    <w:rsid w:val="00565D14"/>
    <w:rsid w:val="0056639B"/>
    <w:rsid w:val="0056646D"/>
    <w:rsid w:val="005666A9"/>
    <w:rsid w:val="005670D2"/>
    <w:rsid w:val="00567705"/>
    <w:rsid w:val="00567B83"/>
    <w:rsid w:val="005707DB"/>
    <w:rsid w:val="005708E4"/>
    <w:rsid w:val="00570E91"/>
    <w:rsid w:val="005712DB"/>
    <w:rsid w:val="00571486"/>
    <w:rsid w:val="00571931"/>
    <w:rsid w:val="00571A66"/>
    <w:rsid w:val="00571B04"/>
    <w:rsid w:val="00571EEB"/>
    <w:rsid w:val="00572120"/>
    <w:rsid w:val="005721A7"/>
    <w:rsid w:val="00572849"/>
    <w:rsid w:val="00572AD2"/>
    <w:rsid w:val="00572B92"/>
    <w:rsid w:val="00572C1C"/>
    <w:rsid w:val="00572FEC"/>
    <w:rsid w:val="00573277"/>
    <w:rsid w:val="00573EC3"/>
    <w:rsid w:val="00573F8F"/>
    <w:rsid w:val="0057424A"/>
    <w:rsid w:val="00574731"/>
    <w:rsid w:val="00574F98"/>
    <w:rsid w:val="005754DE"/>
    <w:rsid w:val="0057564E"/>
    <w:rsid w:val="00575C0F"/>
    <w:rsid w:val="005762CE"/>
    <w:rsid w:val="00576500"/>
    <w:rsid w:val="00576B85"/>
    <w:rsid w:val="0057721F"/>
    <w:rsid w:val="0057734F"/>
    <w:rsid w:val="005774EA"/>
    <w:rsid w:val="005775D8"/>
    <w:rsid w:val="00577905"/>
    <w:rsid w:val="00577918"/>
    <w:rsid w:val="00577A94"/>
    <w:rsid w:val="00577FC2"/>
    <w:rsid w:val="00580033"/>
    <w:rsid w:val="0058071C"/>
    <w:rsid w:val="005808FC"/>
    <w:rsid w:val="0058118A"/>
    <w:rsid w:val="0058170D"/>
    <w:rsid w:val="00581864"/>
    <w:rsid w:val="00581889"/>
    <w:rsid w:val="00581CCA"/>
    <w:rsid w:val="00581F7C"/>
    <w:rsid w:val="0058202D"/>
    <w:rsid w:val="005820F6"/>
    <w:rsid w:val="00582284"/>
    <w:rsid w:val="005827CD"/>
    <w:rsid w:val="00582B46"/>
    <w:rsid w:val="00582B4F"/>
    <w:rsid w:val="00582D09"/>
    <w:rsid w:val="00582F12"/>
    <w:rsid w:val="00583052"/>
    <w:rsid w:val="00583175"/>
    <w:rsid w:val="005832C9"/>
    <w:rsid w:val="0058443D"/>
    <w:rsid w:val="0058457E"/>
    <w:rsid w:val="0058497E"/>
    <w:rsid w:val="00584D30"/>
    <w:rsid w:val="00584D41"/>
    <w:rsid w:val="00584FCF"/>
    <w:rsid w:val="005850FC"/>
    <w:rsid w:val="005853EF"/>
    <w:rsid w:val="0058585D"/>
    <w:rsid w:val="00586864"/>
    <w:rsid w:val="005868F7"/>
    <w:rsid w:val="00586AA4"/>
    <w:rsid w:val="00586DDA"/>
    <w:rsid w:val="00586DE6"/>
    <w:rsid w:val="00586ED7"/>
    <w:rsid w:val="00586FF2"/>
    <w:rsid w:val="00587275"/>
    <w:rsid w:val="005873E9"/>
    <w:rsid w:val="005878C5"/>
    <w:rsid w:val="00591872"/>
    <w:rsid w:val="00591F68"/>
    <w:rsid w:val="00592A0C"/>
    <w:rsid w:val="00592B58"/>
    <w:rsid w:val="00592D34"/>
    <w:rsid w:val="00592E6B"/>
    <w:rsid w:val="00593483"/>
    <w:rsid w:val="00593B11"/>
    <w:rsid w:val="00593D89"/>
    <w:rsid w:val="00593DD7"/>
    <w:rsid w:val="005942C7"/>
    <w:rsid w:val="00594478"/>
    <w:rsid w:val="0059461D"/>
    <w:rsid w:val="0059633E"/>
    <w:rsid w:val="005967F1"/>
    <w:rsid w:val="00596B35"/>
    <w:rsid w:val="00597165"/>
    <w:rsid w:val="005971F1"/>
    <w:rsid w:val="005976F7"/>
    <w:rsid w:val="005978DE"/>
    <w:rsid w:val="005979F7"/>
    <w:rsid w:val="00597BDA"/>
    <w:rsid w:val="005A029C"/>
    <w:rsid w:val="005A0331"/>
    <w:rsid w:val="005A033F"/>
    <w:rsid w:val="005A0D4A"/>
    <w:rsid w:val="005A0E09"/>
    <w:rsid w:val="005A1232"/>
    <w:rsid w:val="005A143F"/>
    <w:rsid w:val="005A1746"/>
    <w:rsid w:val="005A1BA3"/>
    <w:rsid w:val="005A1C28"/>
    <w:rsid w:val="005A1E22"/>
    <w:rsid w:val="005A21FD"/>
    <w:rsid w:val="005A2D47"/>
    <w:rsid w:val="005A3408"/>
    <w:rsid w:val="005A35F8"/>
    <w:rsid w:val="005A3958"/>
    <w:rsid w:val="005A3F8E"/>
    <w:rsid w:val="005A4076"/>
    <w:rsid w:val="005A4131"/>
    <w:rsid w:val="005A4228"/>
    <w:rsid w:val="005A4378"/>
    <w:rsid w:val="005A468C"/>
    <w:rsid w:val="005A4925"/>
    <w:rsid w:val="005A4F01"/>
    <w:rsid w:val="005A5263"/>
    <w:rsid w:val="005A535F"/>
    <w:rsid w:val="005A5389"/>
    <w:rsid w:val="005A53D0"/>
    <w:rsid w:val="005A5580"/>
    <w:rsid w:val="005A55D3"/>
    <w:rsid w:val="005A59FA"/>
    <w:rsid w:val="005A5F0B"/>
    <w:rsid w:val="005A626C"/>
    <w:rsid w:val="005A6D74"/>
    <w:rsid w:val="005A6F7B"/>
    <w:rsid w:val="005A75DA"/>
    <w:rsid w:val="005A7CAF"/>
    <w:rsid w:val="005B0037"/>
    <w:rsid w:val="005B00AF"/>
    <w:rsid w:val="005B016D"/>
    <w:rsid w:val="005B0E0A"/>
    <w:rsid w:val="005B10F1"/>
    <w:rsid w:val="005B1155"/>
    <w:rsid w:val="005B11E8"/>
    <w:rsid w:val="005B1486"/>
    <w:rsid w:val="005B14E0"/>
    <w:rsid w:val="005B1657"/>
    <w:rsid w:val="005B1723"/>
    <w:rsid w:val="005B1789"/>
    <w:rsid w:val="005B1AEF"/>
    <w:rsid w:val="005B1FC8"/>
    <w:rsid w:val="005B1FDE"/>
    <w:rsid w:val="005B21EC"/>
    <w:rsid w:val="005B290F"/>
    <w:rsid w:val="005B2DD5"/>
    <w:rsid w:val="005B2EE2"/>
    <w:rsid w:val="005B3298"/>
    <w:rsid w:val="005B3731"/>
    <w:rsid w:val="005B3835"/>
    <w:rsid w:val="005B3C5A"/>
    <w:rsid w:val="005B416B"/>
    <w:rsid w:val="005B43F5"/>
    <w:rsid w:val="005B44ED"/>
    <w:rsid w:val="005B4EB7"/>
    <w:rsid w:val="005B5004"/>
    <w:rsid w:val="005B504A"/>
    <w:rsid w:val="005B51BA"/>
    <w:rsid w:val="005B51F2"/>
    <w:rsid w:val="005B5214"/>
    <w:rsid w:val="005B5298"/>
    <w:rsid w:val="005B593A"/>
    <w:rsid w:val="005B5DB2"/>
    <w:rsid w:val="005B5DCE"/>
    <w:rsid w:val="005B5E4F"/>
    <w:rsid w:val="005B5E58"/>
    <w:rsid w:val="005B664D"/>
    <w:rsid w:val="005B665A"/>
    <w:rsid w:val="005B6BD4"/>
    <w:rsid w:val="005B6C7A"/>
    <w:rsid w:val="005B71B0"/>
    <w:rsid w:val="005B727B"/>
    <w:rsid w:val="005B7BE1"/>
    <w:rsid w:val="005B7C39"/>
    <w:rsid w:val="005B7CFB"/>
    <w:rsid w:val="005C0887"/>
    <w:rsid w:val="005C0A25"/>
    <w:rsid w:val="005C0A26"/>
    <w:rsid w:val="005C11A6"/>
    <w:rsid w:val="005C1651"/>
    <w:rsid w:val="005C2124"/>
    <w:rsid w:val="005C3023"/>
    <w:rsid w:val="005C35DA"/>
    <w:rsid w:val="005C37FB"/>
    <w:rsid w:val="005C3955"/>
    <w:rsid w:val="005C3A8B"/>
    <w:rsid w:val="005C3D67"/>
    <w:rsid w:val="005C46B1"/>
    <w:rsid w:val="005C46B7"/>
    <w:rsid w:val="005C58BA"/>
    <w:rsid w:val="005C59DB"/>
    <w:rsid w:val="005C5A19"/>
    <w:rsid w:val="005C5F90"/>
    <w:rsid w:val="005C6023"/>
    <w:rsid w:val="005C6CCE"/>
    <w:rsid w:val="005C7138"/>
    <w:rsid w:val="005C759D"/>
    <w:rsid w:val="005C7725"/>
    <w:rsid w:val="005C7BE9"/>
    <w:rsid w:val="005D0256"/>
    <w:rsid w:val="005D0A6F"/>
    <w:rsid w:val="005D0DFE"/>
    <w:rsid w:val="005D0EC3"/>
    <w:rsid w:val="005D11BB"/>
    <w:rsid w:val="005D11DD"/>
    <w:rsid w:val="005D1315"/>
    <w:rsid w:val="005D1575"/>
    <w:rsid w:val="005D1CAC"/>
    <w:rsid w:val="005D28ED"/>
    <w:rsid w:val="005D2C5A"/>
    <w:rsid w:val="005D2E97"/>
    <w:rsid w:val="005D2FBA"/>
    <w:rsid w:val="005D3445"/>
    <w:rsid w:val="005D35D2"/>
    <w:rsid w:val="005D36D3"/>
    <w:rsid w:val="005D3AB2"/>
    <w:rsid w:val="005D3DAA"/>
    <w:rsid w:val="005D3DFF"/>
    <w:rsid w:val="005D429F"/>
    <w:rsid w:val="005D4373"/>
    <w:rsid w:val="005D4884"/>
    <w:rsid w:val="005D4D52"/>
    <w:rsid w:val="005D4EED"/>
    <w:rsid w:val="005D505F"/>
    <w:rsid w:val="005D5162"/>
    <w:rsid w:val="005D5F9F"/>
    <w:rsid w:val="005D639A"/>
    <w:rsid w:val="005D64EE"/>
    <w:rsid w:val="005D6625"/>
    <w:rsid w:val="005D749A"/>
    <w:rsid w:val="005D74CE"/>
    <w:rsid w:val="005D76BE"/>
    <w:rsid w:val="005D7B64"/>
    <w:rsid w:val="005D7CD8"/>
    <w:rsid w:val="005D7DAE"/>
    <w:rsid w:val="005E05C7"/>
    <w:rsid w:val="005E0688"/>
    <w:rsid w:val="005E06E1"/>
    <w:rsid w:val="005E1164"/>
    <w:rsid w:val="005E121D"/>
    <w:rsid w:val="005E146C"/>
    <w:rsid w:val="005E19EC"/>
    <w:rsid w:val="005E21BB"/>
    <w:rsid w:val="005E2727"/>
    <w:rsid w:val="005E319A"/>
    <w:rsid w:val="005E325B"/>
    <w:rsid w:val="005E325F"/>
    <w:rsid w:val="005E3525"/>
    <w:rsid w:val="005E3712"/>
    <w:rsid w:val="005E38E3"/>
    <w:rsid w:val="005E39CF"/>
    <w:rsid w:val="005E4410"/>
    <w:rsid w:val="005E4C2A"/>
    <w:rsid w:val="005E4C69"/>
    <w:rsid w:val="005E4DBF"/>
    <w:rsid w:val="005E512B"/>
    <w:rsid w:val="005E53F5"/>
    <w:rsid w:val="005E59BD"/>
    <w:rsid w:val="005E6273"/>
    <w:rsid w:val="005E6594"/>
    <w:rsid w:val="005E68D7"/>
    <w:rsid w:val="005E6A96"/>
    <w:rsid w:val="005E6B2E"/>
    <w:rsid w:val="005E6D60"/>
    <w:rsid w:val="005E70A2"/>
    <w:rsid w:val="005E7193"/>
    <w:rsid w:val="005E7264"/>
    <w:rsid w:val="005E742E"/>
    <w:rsid w:val="005E7639"/>
    <w:rsid w:val="005E78E8"/>
    <w:rsid w:val="005E7ABB"/>
    <w:rsid w:val="005E7F28"/>
    <w:rsid w:val="005E7F95"/>
    <w:rsid w:val="005E7F9A"/>
    <w:rsid w:val="005F009F"/>
    <w:rsid w:val="005F00A7"/>
    <w:rsid w:val="005F025D"/>
    <w:rsid w:val="005F0DBE"/>
    <w:rsid w:val="005F0FEA"/>
    <w:rsid w:val="005F108D"/>
    <w:rsid w:val="005F1368"/>
    <w:rsid w:val="005F1623"/>
    <w:rsid w:val="005F1AE9"/>
    <w:rsid w:val="005F23A0"/>
    <w:rsid w:val="005F2787"/>
    <w:rsid w:val="005F2A25"/>
    <w:rsid w:val="005F3583"/>
    <w:rsid w:val="005F3CA2"/>
    <w:rsid w:val="005F47FD"/>
    <w:rsid w:val="005F4E98"/>
    <w:rsid w:val="005F5144"/>
    <w:rsid w:val="005F539F"/>
    <w:rsid w:val="005F54D5"/>
    <w:rsid w:val="005F5FBA"/>
    <w:rsid w:val="005F61B9"/>
    <w:rsid w:val="005F6AC4"/>
    <w:rsid w:val="005F6AF1"/>
    <w:rsid w:val="005F70A0"/>
    <w:rsid w:val="005F746F"/>
    <w:rsid w:val="005F78A0"/>
    <w:rsid w:val="005F7D18"/>
    <w:rsid w:val="0060083C"/>
    <w:rsid w:val="006008EB"/>
    <w:rsid w:val="00600965"/>
    <w:rsid w:val="00600E30"/>
    <w:rsid w:val="00600E9E"/>
    <w:rsid w:val="0060119E"/>
    <w:rsid w:val="00601C74"/>
    <w:rsid w:val="00601F16"/>
    <w:rsid w:val="00602112"/>
    <w:rsid w:val="0060257A"/>
    <w:rsid w:val="00602631"/>
    <w:rsid w:val="006026A0"/>
    <w:rsid w:val="00602B25"/>
    <w:rsid w:val="00602D35"/>
    <w:rsid w:val="006030E3"/>
    <w:rsid w:val="00603389"/>
    <w:rsid w:val="00604157"/>
    <w:rsid w:val="0060486F"/>
    <w:rsid w:val="00605205"/>
    <w:rsid w:val="00605359"/>
    <w:rsid w:val="0060608F"/>
    <w:rsid w:val="006063B2"/>
    <w:rsid w:val="00606691"/>
    <w:rsid w:val="00606E60"/>
    <w:rsid w:val="006070DC"/>
    <w:rsid w:val="00607EC6"/>
    <w:rsid w:val="006109B3"/>
    <w:rsid w:val="00610D83"/>
    <w:rsid w:val="00611181"/>
    <w:rsid w:val="006113E5"/>
    <w:rsid w:val="00611FAF"/>
    <w:rsid w:val="0061279A"/>
    <w:rsid w:val="00612B9F"/>
    <w:rsid w:val="00612C6C"/>
    <w:rsid w:val="00613A8D"/>
    <w:rsid w:val="00613F59"/>
    <w:rsid w:val="00614489"/>
    <w:rsid w:val="006146B4"/>
    <w:rsid w:val="00614AAB"/>
    <w:rsid w:val="00614B27"/>
    <w:rsid w:val="00614CF1"/>
    <w:rsid w:val="006151B0"/>
    <w:rsid w:val="00615BE4"/>
    <w:rsid w:val="00616151"/>
    <w:rsid w:val="006161B4"/>
    <w:rsid w:val="006163F5"/>
    <w:rsid w:val="00616498"/>
    <w:rsid w:val="006165E2"/>
    <w:rsid w:val="006167A1"/>
    <w:rsid w:val="00616C8A"/>
    <w:rsid w:val="00617AE5"/>
    <w:rsid w:val="00617FA9"/>
    <w:rsid w:val="00620066"/>
    <w:rsid w:val="00620081"/>
    <w:rsid w:val="0062020A"/>
    <w:rsid w:val="0062086D"/>
    <w:rsid w:val="0062086F"/>
    <w:rsid w:val="0062162C"/>
    <w:rsid w:val="00621821"/>
    <w:rsid w:val="00621DCC"/>
    <w:rsid w:val="00622714"/>
    <w:rsid w:val="00622D8B"/>
    <w:rsid w:val="00623033"/>
    <w:rsid w:val="006236A8"/>
    <w:rsid w:val="006236C1"/>
    <w:rsid w:val="006238DD"/>
    <w:rsid w:val="006239F5"/>
    <w:rsid w:val="00623A3E"/>
    <w:rsid w:val="00623AFE"/>
    <w:rsid w:val="00623E32"/>
    <w:rsid w:val="00624003"/>
    <w:rsid w:val="0062421B"/>
    <w:rsid w:val="00624233"/>
    <w:rsid w:val="006245C9"/>
    <w:rsid w:val="00624BD5"/>
    <w:rsid w:val="00624F68"/>
    <w:rsid w:val="006253C8"/>
    <w:rsid w:val="0062624D"/>
    <w:rsid w:val="00626658"/>
    <w:rsid w:val="006270D6"/>
    <w:rsid w:val="0062738B"/>
    <w:rsid w:val="00627592"/>
    <w:rsid w:val="006276E4"/>
    <w:rsid w:val="00630179"/>
    <w:rsid w:val="0063019A"/>
    <w:rsid w:val="006303FC"/>
    <w:rsid w:val="00630466"/>
    <w:rsid w:val="00630496"/>
    <w:rsid w:val="006307D7"/>
    <w:rsid w:val="006308DB"/>
    <w:rsid w:val="00630A4B"/>
    <w:rsid w:val="00631325"/>
    <w:rsid w:val="006314AD"/>
    <w:rsid w:val="00631671"/>
    <w:rsid w:val="00631A5C"/>
    <w:rsid w:val="00631D04"/>
    <w:rsid w:val="00631EBF"/>
    <w:rsid w:val="006320B7"/>
    <w:rsid w:val="006320F5"/>
    <w:rsid w:val="006327D1"/>
    <w:rsid w:val="00632C00"/>
    <w:rsid w:val="00632D7D"/>
    <w:rsid w:val="006334FE"/>
    <w:rsid w:val="00633C1D"/>
    <w:rsid w:val="00633D35"/>
    <w:rsid w:val="0063408A"/>
    <w:rsid w:val="00634167"/>
    <w:rsid w:val="0063420D"/>
    <w:rsid w:val="0063443E"/>
    <w:rsid w:val="0063453A"/>
    <w:rsid w:val="00634724"/>
    <w:rsid w:val="0063515B"/>
    <w:rsid w:val="00635266"/>
    <w:rsid w:val="0063536B"/>
    <w:rsid w:val="006354F3"/>
    <w:rsid w:val="0063590E"/>
    <w:rsid w:val="00635B77"/>
    <w:rsid w:val="00635C1C"/>
    <w:rsid w:val="006369A4"/>
    <w:rsid w:val="00636A71"/>
    <w:rsid w:val="00636CB4"/>
    <w:rsid w:val="006371F4"/>
    <w:rsid w:val="0063726C"/>
    <w:rsid w:val="00637A7A"/>
    <w:rsid w:val="00637A9F"/>
    <w:rsid w:val="00637AB7"/>
    <w:rsid w:val="00637ADE"/>
    <w:rsid w:val="00637ED3"/>
    <w:rsid w:val="00637EFA"/>
    <w:rsid w:val="00640219"/>
    <w:rsid w:val="006404CA"/>
    <w:rsid w:val="00640F6C"/>
    <w:rsid w:val="0064100C"/>
    <w:rsid w:val="006413D5"/>
    <w:rsid w:val="006415F6"/>
    <w:rsid w:val="00641886"/>
    <w:rsid w:val="00641C63"/>
    <w:rsid w:val="00641EC8"/>
    <w:rsid w:val="006421A7"/>
    <w:rsid w:val="00642210"/>
    <w:rsid w:val="00642748"/>
    <w:rsid w:val="006428C4"/>
    <w:rsid w:val="0064290B"/>
    <w:rsid w:val="00642B85"/>
    <w:rsid w:val="006430C5"/>
    <w:rsid w:val="00643740"/>
    <w:rsid w:val="00643A34"/>
    <w:rsid w:val="00643DD4"/>
    <w:rsid w:val="00643E9B"/>
    <w:rsid w:val="0064450F"/>
    <w:rsid w:val="0064473E"/>
    <w:rsid w:val="006450E6"/>
    <w:rsid w:val="0064518A"/>
    <w:rsid w:val="0064521C"/>
    <w:rsid w:val="00645426"/>
    <w:rsid w:val="006454B8"/>
    <w:rsid w:val="00645A86"/>
    <w:rsid w:val="006460C7"/>
    <w:rsid w:val="00646583"/>
    <w:rsid w:val="00646982"/>
    <w:rsid w:val="00646EB0"/>
    <w:rsid w:val="00647021"/>
    <w:rsid w:val="00647050"/>
    <w:rsid w:val="006479BD"/>
    <w:rsid w:val="006500FA"/>
    <w:rsid w:val="0065084A"/>
    <w:rsid w:val="00650A36"/>
    <w:rsid w:val="00650A72"/>
    <w:rsid w:val="00650BF9"/>
    <w:rsid w:val="0065136F"/>
    <w:rsid w:val="0065166D"/>
    <w:rsid w:val="00651A5B"/>
    <w:rsid w:val="00651D8B"/>
    <w:rsid w:val="006521A1"/>
    <w:rsid w:val="006521A7"/>
    <w:rsid w:val="006522C1"/>
    <w:rsid w:val="00652524"/>
    <w:rsid w:val="006528F8"/>
    <w:rsid w:val="00652C49"/>
    <w:rsid w:val="00652E74"/>
    <w:rsid w:val="006534F8"/>
    <w:rsid w:val="0065391D"/>
    <w:rsid w:val="006539C0"/>
    <w:rsid w:val="00653D16"/>
    <w:rsid w:val="00654312"/>
    <w:rsid w:val="006545A7"/>
    <w:rsid w:val="0065467E"/>
    <w:rsid w:val="00654C4B"/>
    <w:rsid w:val="0065531F"/>
    <w:rsid w:val="006564FA"/>
    <w:rsid w:val="006567B0"/>
    <w:rsid w:val="00656A1A"/>
    <w:rsid w:val="00656DCC"/>
    <w:rsid w:val="00657086"/>
    <w:rsid w:val="00657A4F"/>
    <w:rsid w:val="00657B5B"/>
    <w:rsid w:val="00657D69"/>
    <w:rsid w:val="00660464"/>
    <w:rsid w:val="00660926"/>
    <w:rsid w:val="006609DD"/>
    <w:rsid w:val="00660B0D"/>
    <w:rsid w:val="00660C65"/>
    <w:rsid w:val="00660E84"/>
    <w:rsid w:val="006610D7"/>
    <w:rsid w:val="00661146"/>
    <w:rsid w:val="0066120F"/>
    <w:rsid w:val="006618E3"/>
    <w:rsid w:val="006619DD"/>
    <w:rsid w:val="00661CA1"/>
    <w:rsid w:val="00662B82"/>
    <w:rsid w:val="00662C6B"/>
    <w:rsid w:val="00662E37"/>
    <w:rsid w:val="00662FBA"/>
    <w:rsid w:val="00663021"/>
    <w:rsid w:val="006635CD"/>
    <w:rsid w:val="00664105"/>
    <w:rsid w:val="00664384"/>
    <w:rsid w:val="006645D5"/>
    <w:rsid w:val="00664D4E"/>
    <w:rsid w:val="00664D9E"/>
    <w:rsid w:val="00664FD2"/>
    <w:rsid w:val="00665178"/>
    <w:rsid w:val="006652B7"/>
    <w:rsid w:val="0066577A"/>
    <w:rsid w:val="00665801"/>
    <w:rsid w:val="00665CD1"/>
    <w:rsid w:val="00665D1E"/>
    <w:rsid w:val="00665E67"/>
    <w:rsid w:val="00666191"/>
    <w:rsid w:val="00666546"/>
    <w:rsid w:val="00666659"/>
    <w:rsid w:val="00666A2C"/>
    <w:rsid w:val="00667087"/>
    <w:rsid w:val="006671D3"/>
    <w:rsid w:val="006671D8"/>
    <w:rsid w:val="006671FC"/>
    <w:rsid w:val="006676EF"/>
    <w:rsid w:val="00667984"/>
    <w:rsid w:val="0067074E"/>
    <w:rsid w:val="0067097E"/>
    <w:rsid w:val="00670A9E"/>
    <w:rsid w:val="00670B63"/>
    <w:rsid w:val="00670CA5"/>
    <w:rsid w:val="00671015"/>
    <w:rsid w:val="00671624"/>
    <w:rsid w:val="006718ED"/>
    <w:rsid w:val="00671BB3"/>
    <w:rsid w:val="00671DEE"/>
    <w:rsid w:val="00671FCD"/>
    <w:rsid w:val="006720E5"/>
    <w:rsid w:val="006725C5"/>
    <w:rsid w:val="0067261B"/>
    <w:rsid w:val="00673FD3"/>
    <w:rsid w:val="006743F1"/>
    <w:rsid w:val="0067468A"/>
    <w:rsid w:val="00674B30"/>
    <w:rsid w:val="00674FD7"/>
    <w:rsid w:val="00674FF7"/>
    <w:rsid w:val="00675241"/>
    <w:rsid w:val="00675667"/>
    <w:rsid w:val="00675824"/>
    <w:rsid w:val="006758BE"/>
    <w:rsid w:val="00675D86"/>
    <w:rsid w:val="006763BB"/>
    <w:rsid w:val="0067708B"/>
    <w:rsid w:val="00677149"/>
    <w:rsid w:val="00677370"/>
    <w:rsid w:val="006773BE"/>
    <w:rsid w:val="00677707"/>
    <w:rsid w:val="00677A65"/>
    <w:rsid w:val="00677C94"/>
    <w:rsid w:val="006804B2"/>
    <w:rsid w:val="006807F4"/>
    <w:rsid w:val="006810CF"/>
    <w:rsid w:val="00682C2E"/>
    <w:rsid w:val="00682D03"/>
    <w:rsid w:val="006830F4"/>
    <w:rsid w:val="006839CF"/>
    <w:rsid w:val="006839FE"/>
    <w:rsid w:val="00683ECE"/>
    <w:rsid w:val="0068423C"/>
    <w:rsid w:val="0068467E"/>
    <w:rsid w:val="00684AF6"/>
    <w:rsid w:val="00684C44"/>
    <w:rsid w:val="00684D24"/>
    <w:rsid w:val="00685081"/>
    <w:rsid w:val="006850C5"/>
    <w:rsid w:val="00685134"/>
    <w:rsid w:val="00685448"/>
    <w:rsid w:val="006856E7"/>
    <w:rsid w:val="00685B00"/>
    <w:rsid w:val="00685EA7"/>
    <w:rsid w:val="00685EF8"/>
    <w:rsid w:val="00685FAF"/>
    <w:rsid w:val="00686148"/>
    <w:rsid w:val="00686617"/>
    <w:rsid w:val="00686908"/>
    <w:rsid w:val="00686AE4"/>
    <w:rsid w:val="00686EDA"/>
    <w:rsid w:val="0068738A"/>
    <w:rsid w:val="0068742D"/>
    <w:rsid w:val="00687F1C"/>
    <w:rsid w:val="00687FF2"/>
    <w:rsid w:val="0069059D"/>
    <w:rsid w:val="006905B2"/>
    <w:rsid w:val="00690D37"/>
    <w:rsid w:val="00690DE1"/>
    <w:rsid w:val="006912C6"/>
    <w:rsid w:val="006914E8"/>
    <w:rsid w:val="006915E3"/>
    <w:rsid w:val="0069168D"/>
    <w:rsid w:val="0069175B"/>
    <w:rsid w:val="00691B0D"/>
    <w:rsid w:val="00691F22"/>
    <w:rsid w:val="00691F71"/>
    <w:rsid w:val="00692625"/>
    <w:rsid w:val="00692F0C"/>
    <w:rsid w:val="006930AE"/>
    <w:rsid w:val="006930CC"/>
    <w:rsid w:val="006936FA"/>
    <w:rsid w:val="00693917"/>
    <w:rsid w:val="00693FEE"/>
    <w:rsid w:val="00694707"/>
    <w:rsid w:val="00694ABA"/>
    <w:rsid w:val="0069515D"/>
    <w:rsid w:val="006951A3"/>
    <w:rsid w:val="00695277"/>
    <w:rsid w:val="0069566C"/>
    <w:rsid w:val="00695AB7"/>
    <w:rsid w:val="00695DB1"/>
    <w:rsid w:val="00696066"/>
    <w:rsid w:val="00696645"/>
    <w:rsid w:val="00696B4B"/>
    <w:rsid w:val="0069708A"/>
    <w:rsid w:val="0069716D"/>
    <w:rsid w:val="0069732A"/>
    <w:rsid w:val="00697387"/>
    <w:rsid w:val="006975E7"/>
    <w:rsid w:val="00697694"/>
    <w:rsid w:val="00697723"/>
    <w:rsid w:val="00697853"/>
    <w:rsid w:val="00697C1E"/>
    <w:rsid w:val="00697E69"/>
    <w:rsid w:val="006A0030"/>
    <w:rsid w:val="006A0997"/>
    <w:rsid w:val="006A0C7C"/>
    <w:rsid w:val="006A101D"/>
    <w:rsid w:val="006A1BA3"/>
    <w:rsid w:val="006A1D46"/>
    <w:rsid w:val="006A2862"/>
    <w:rsid w:val="006A29BB"/>
    <w:rsid w:val="006A2E84"/>
    <w:rsid w:val="006A2FA2"/>
    <w:rsid w:val="006A2FC6"/>
    <w:rsid w:val="006A3354"/>
    <w:rsid w:val="006A3976"/>
    <w:rsid w:val="006A3F51"/>
    <w:rsid w:val="006A3FD5"/>
    <w:rsid w:val="006A4BBB"/>
    <w:rsid w:val="006A4F81"/>
    <w:rsid w:val="006A5091"/>
    <w:rsid w:val="006A5D2D"/>
    <w:rsid w:val="006A5DAD"/>
    <w:rsid w:val="006A5FA1"/>
    <w:rsid w:val="006A64DA"/>
    <w:rsid w:val="006A64F2"/>
    <w:rsid w:val="006A666A"/>
    <w:rsid w:val="006A6785"/>
    <w:rsid w:val="006A6BEC"/>
    <w:rsid w:val="006A6CD8"/>
    <w:rsid w:val="006A6D4B"/>
    <w:rsid w:val="006A6E6D"/>
    <w:rsid w:val="006B0256"/>
    <w:rsid w:val="006B04DC"/>
    <w:rsid w:val="006B12CD"/>
    <w:rsid w:val="006B13DA"/>
    <w:rsid w:val="006B19B9"/>
    <w:rsid w:val="006B201D"/>
    <w:rsid w:val="006B2755"/>
    <w:rsid w:val="006B27D2"/>
    <w:rsid w:val="006B3119"/>
    <w:rsid w:val="006B389E"/>
    <w:rsid w:val="006B39FF"/>
    <w:rsid w:val="006B3C04"/>
    <w:rsid w:val="006B44BF"/>
    <w:rsid w:val="006B499A"/>
    <w:rsid w:val="006B4BAA"/>
    <w:rsid w:val="006B4C5D"/>
    <w:rsid w:val="006B5071"/>
    <w:rsid w:val="006B5762"/>
    <w:rsid w:val="006B57A5"/>
    <w:rsid w:val="006B5B89"/>
    <w:rsid w:val="006B5CAF"/>
    <w:rsid w:val="006B61E6"/>
    <w:rsid w:val="006B6369"/>
    <w:rsid w:val="006B6F9E"/>
    <w:rsid w:val="006B7292"/>
    <w:rsid w:val="006B7360"/>
    <w:rsid w:val="006B780E"/>
    <w:rsid w:val="006B79FC"/>
    <w:rsid w:val="006B7B1C"/>
    <w:rsid w:val="006B7DE7"/>
    <w:rsid w:val="006B7FB9"/>
    <w:rsid w:val="006C011D"/>
    <w:rsid w:val="006C0987"/>
    <w:rsid w:val="006C115E"/>
    <w:rsid w:val="006C14EF"/>
    <w:rsid w:val="006C179E"/>
    <w:rsid w:val="006C18DA"/>
    <w:rsid w:val="006C1947"/>
    <w:rsid w:val="006C1C47"/>
    <w:rsid w:val="006C1FA9"/>
    <w:rsid w:val="006C2702"/>
    <w:rsid w:val="006C2841"/>
    <w:rsid w:val="006C382A"/>
    <w:rsid w:val="006C3A72"/>
    <w:rsid w:val="006C3D63"/>
    <w:rsid w:val="006C3EEC"/>
    <w:rsid w:val="006C422C"/>
    <w:rsid w:val="006C45A2"/>
    <w:rsid w:val="006C45B9"/>
    <w:rsid w:val="006C49B9"/>
    <w:rsid w:val="006C525C"/>
    <w:rsid w:val="006C5AEA"/>
    <w:rsid w:val="006C6739"/>
    <w:rsid w:val="006C6FA0"/>
    <w:rsid w:val="006C7196"/>
    <w:rsid w:val="006C7503"/>
    <w:rsid w:val="006C785A"/>
    <w:rsid w:val="006C78D1"/>
    <w:rsid w:val="006C7FD9"/>
    <w:rsid w:val="006D000B"/>
    <w:rsid w:val="006D0016"/>
    <w:rsid w:val="006D00BF"/>
    <w:rsid w:val="006D043C"/>
    <w:rsid w:val="006D1174"/>
    <w:rsid w:val="006D125B"/>
    <w:rsid w:val="006D155E"/>
    <w:rsid w:val="006D247E"/>
    <w:rsid w:val="006D255D"/>
    <w:rsid w:val="006D26ED"/>
    <w:rsid w:val="006D2BA2"/>
    <w:rsid w:val="006D3089"/>
    <w:rsid w:val="006D3F5C"/>
    <w:rsid w:val="006D41E1"/>
    <w:rsid w:val="006D449E"/>
    <w:rsid w:val="006D44C3"/>
    <w:rsid w:val="006D4948"/>
    <w:rsid w:val="006D50CD"/>
    <w:rsid w:val="006D5765"/>
    <w:rsid w:val="006D57B8"/>
    <w:rsid w:val="006D59ED"/>
    <w:rsid w:val="006D62EA"/>
    <w:rsid w:val="006D650F"/>
    <w:rsid w:val="006D6520"/>
    <w:rsid w:val="006D6539"/>
    <w:rsid w:val="006D6AE3"/>
    <w:rsid w:val="006D6C37"/>
    <w:rsid w:val="006D6E8D"/>
    <w:rsid w:val="006D71AF"/>
    <w:rsid w:val="006D7562"/>
    <w:rsid w:val="006D77F9"/>
    <w:rsid w:val="006D79A2"/>
    <w:rsid w:val="006D7CD1"/>
    <w:rsid w:val="006D7D29"/>
    <w:rsid w:val="006E0167"/>
    <w:rsid w:val="006E01D6"/>
    <w:rsid w:val="006E0BE9"/>
    <w:rsid w:val="006E137B"/>
    <w:rsid w:val="006E14D9"/>
    <w:rsid w:val="006E1788"/>
    <w:rsid w:val="006E19F5"/>
    <w:rsid w:val="006E2088"/>
    <w:rsid w:val="006E208C"/>
    <w:rsid w:val="006E2547"/>
    <w:rsid w:val="006E2665"/>
    <w:rsid w:val="006E270B"/>
    <w:rsid w:val="006E27CD"/>
    <w:rsid w:val="006E29AA"/>
    <w:rsid w:val="006E2F77"/>
    <w:rsid w:val="006E2F7D"/>
    <w:rsid w:val="006E2F9A"/>
    <w:rsid w:val="006E33E5"/>
    <w:rsid w:val="006E3714"/>
    <w:rsid w:val="006E380C"/>
    <w:rsid w:val="006E39AB"/>
    <w:rsid w:val="006E3E9F"/>
    <w:rsid w:val="006E4071"/>
    <w:rsid w:val="006E43CE"/>
    <w:rsid w:val="006E456B"/>
    <w:rsid w:val="006E4730"/>
    <w:rsid w:val="006E4BC8"/>
    <w:rsid w:val="006E5249"/>
    <w:rsid w:val="006E53F6"/>
    <w:rsid w:val="006E5615"/>
    <w:rsid w:val="006E5632"/>
    <w:rsid w:val="006E573F"/>
    <w:rsid w:val="006E62B6"/>
    <w:rsid w:val="006E63DB"/>
    <w:rsid w:val="006E6EF8"/>
    <w:rsid w:val="006E7AB1"/>
    <w:rsid w:val="006F025B"/>
    <w:rsid w:val="006F0444"/>
    <w:rsid w:val="006F04A0"/>
    <w:rsid w:val="006F05EB"/>
    <w:rsid w:val="006F06E2"/>
    <w:rsid w:val="006F0A30"/>
    <w:rsid w:val="006F157F"/>
    <w:rsid w:val="006F1D59"/>
    <w:rsid w:val="006F257B"/>
    <w:rsid w:val="006F2C2C"/>
    <w:rsid w:val="006F2FA8"/>
    <w:rsid w:val="006F31FD"/>
    <w:rsid w:val="006F3578"/>
    <w:rsid w:val="006F3CDF"/>
    <w:rsid w:val="006F3FAE"/>
    <w:rsid w:val="006F4197"/>
    <w:rsid w:val="006F4294"/>
    <w:rsid w:val="006F4756"/>
    <w:rsid w:val="006F4EB5"/>
    <w:rsid w:val="006F520C"/>
    <w:rsid w:val="006F52CA"/>
    <w:rsid w:val="006F5508"/>
    <w:rsid w:val="006F593B"/>
    <w:rsid w:val="006F62DC"/>
    <w:rsid w:val="006F62FB"/>
    <w:rsid w:val="006F6406"/>
    <w:rsid w:val="006F641F"/>
    <w:rsid w:val="006F67EA"/>
    <w:rsid w:val="006F6880"/>
    <w:rsid w:val="006F6914"/>
    <w:rsid w:val="006F6C8C"/>
    <w:rsid w:val="006F6D91"/>
    <w:rsid w:val="006F7485"/>
    <w:rsid w:val="006F7700"/>
    <w:rsid w:val="006F79ED"/>
    <w:rsid w:val="006F7BA3"/>
    <w:rsid w:val="006F7EB8"/>
    <w:rsid w:val="0070042F"/>
    <w:rsid w:val="007006F1"/>
    <w:rsid w:val="0070098C"/>
    <w:rsid w:val="00700DD3"/>
    <w:rsid w:val="00701439"/>
    <w:rsid w:val="00701790"/>
    <w:rsid w:val="00701AD5"/>
    <w:rsid w:val="00701CC6"/>
    <w:rsid w:val="00702CE4"/>
    <w:rsid w:val="00703726"/>
    <w:rsid w:val="00703750"/>
    <w:rsid w:val="007048B0"/>
    <w:rsid w:val="00704938"/>
    <w:rsid w:val="00704AEA"/>
    <w:rsid w:val="00704E45"/>
    <w:rsid w:val="0070548F"/>
    <w:rsid w:val="0070561D"/>
    <w:rsid w:val="00705D6B"/>
    <w:rsid w:val="00706156"/>
    <w:rsid w:val="0070678B"/>
    <w:rsid w:val="00706AA0"/>
    <w:rsid w:val="00706C01"/>
    <w:rsid w:val="00706C6A"/>
    <w:rsid w:val="00706D78"/>
    <w:rsid w:val="00710053"/>
    <w:rsid w:val="0071042C"/>
    <w:rsid w:val="0071071D"/>
    <w:rsid w:val="00710D93"/>
    <w:rsid w:val="0071176F"/>
    <w:rsid w:val="00711BA1"/>
    <w:rsid w:val="00711BC3"/>
    <w:rsid w:val="00711D89"/>
    <w:rsid w:val="007121CF"/>
    <w:rsid w:val="00712305"/>
    <w:rsid w:val="00712AAB"/>
    <w:rsid w:val="007132D3"/>
    <w:rsid w:val="00713486"/>
    <w:rsid w:val="00713A22"/>
    <w:rsid w:val="00713B16"/>
    <w:rsid w:val="00713DC7"/>
    <w:rsid w:val="00714083"/>
    <w:rsid w:val="0071424C"/>
    <w:rsid w:val="00714633"/>
    <w:rsid w:val="00714A63"/>
    <w:rsid w:val="00715076"/>
    <w:rsid w:val="00716368"/>
    <w:rsid w:val="007163B8"/>
    <w:rsid w:val="00716426"/>
    <w:rsid w:val="00716DFA"/>
    <w:rsid w:val="007170A8"/>
    <w:rsid w:val="0071713E"/>
    <w:rsid w:val="00717B4E"/>
    <w:rsid w:val="00717E64"/>
    <w:rsid w:val="00717EAD"/>
    <w:rsid w:val="0072029C"/>
    <w:rsid w:val="00720682"/>
    <w:rsid w:val="0072075F"/>
    <w:rsid w:val="00720A9D"/>
    <w:rsid w:val="00720E61"/>
    <w:rsid w:val="00720ED7"/>
    <w:rsid w:val="00721042"/>
    <w:rsid w:val="00721429"/>
    <w:rsid w:val="007216C9"/>
    <w:rsid w:val="00721F22"/>
    <w:rsid w:val="00722A23"/>
    <w:rsid w:val="0072306D"/>
    <w:rsid w:val="007230D9"/>
    <w:rsid w:val="007231CD"/>
    <w:rsid w:val="00723437"/>
    <w:rsid w:val="0072355A"/>
    <w:rsid w:val="00723596"/>
    <w:rsid w:val="007240AA"/>
    <w:rsid w:val="007241F9"/>
    <w:rsid w:val="0072437A"/>
    <w:rsid w:val="00724405"/>
    <w:rsid w:val="007244C3"/>
    <w:rsid w:val="00724559"/>
    <w:rsid w:val="00724628"/>
    <w:rsid w:val="00724960"/>
    <w:rsid w:val="00724B55"/>
    <w:rsid w:val="007256CA"/>
    <w:rsid w:val="0072578E"/>
    <w:rsid w:val="00725B37"/>
    <w:rsid w:val="00725C6F"/>
    <w:rsid w:val="00725FAD"/>
    <w:rsid w:val="00726798"/>
    <w:rsid w:val="00726A34"/>
    <w:rsid w:val="00726A9F"/>
    <w:rsid w:val="00726B57"/>
    <w:rsid w:val="00726CFC"/>
    <w:rsid w:val="00726F97"/>
    <w:rsid w:val="00727057"/>
    <w:rsid w:val="007270FB"/>
    <w:rsid w:val="00730043"/>
    <w:rsid w:val="007303FB"/>
    <w:rsid w:val="00730E64"/>
    <w:rsid w:val="00730F92"/>
    <w:rsid w:val="00731770"/>
    <w:rsid w:val="00731C7B"/>
    <w:rsid w:val="00731DDC"/>
    <w:rsid w:val="007327F5"/>
    <w:rsid w:val="00732ABD"/>
    <w:rsid w:val="007330CB"/>
    <w:rsid w:val="00733523"/>
    <w:rsid w:val="00733886"/>
    <w:rsid w:val="007338BF"/>
    <w:rsid w:val="00733EF2"/>
    <w:rsid w:val="00734286"/>
    <w:rsid w:val="0073453F"/>
    <w:rsid w:val="0073485C"/>
    <w:rsid w:val="00734879"/>
    <w:rsid w:val="00734AC3"/>
    <w:rsid w:val="00734C95"/>
    <w:rsid w:val="00734C99"/>
    <w:rsid w:val="007355FF"/>
    <w:rsid w:val="00735BBC"/>
    <w:rsid w:val="00735DE9"/>
    <w:rsid w:val="007360A4"/>
    <w:rsid w:val="007365A9"/>
    <w:rsid w:val="00736995"/>
    <w:rsid w:val="00736BF4"/>
    <w:rsid w:val="0073715C"/>
    <w:rsid w:val="0073797A"/>
    <w:rsid w:val="00737AE9"/>
    <w:rsid w:val="00740078"/>
    <w:rsid w:val="007406AD"/>
    <w:rsid w:val="00740752"/>
    <w:rsid w:val="007409F8"/>
    <w:rsid w:val="007415BB"/>
    <w:rsid w:val="0074175A"/>
    <w:rsid w:val="007418C8"/>
    <w:rsid w:val="00741A90"/>
    <w:rsid w:val="00741BB7"/>
    <w:rsid w:val="00741BFC"/>
    <w:rsid w:val="00742D90"/>
    <w:rsid w:val="007436D0"/>
    <w:rsid w:val="00743B18"/>
    <w:rsid w:val="00743BA9"/>
    <w:rsid w:val="007443BD"/>
    <w:rsid w:val="00744591"/>
    <w:rsid w:val="00744A14"/>
    <w:rsid w:val="00744FA1"/>
    <w:rsid w:val="0074527A"/>
    <w:rsid w:val="0074541C"/>
    <w:rsid w:val="00745684"/>
    <w:rsid w:val="007457FA"/>
    <w:rsid w:val="007459E3"/>
    <w:rsid w:val="0074610D"/>
    <w:rsid w:val="007464AE"/>
    <w:rsid w:val="00746658"/>
    <w:rsid w:val="00746979"/>
    <w:rsid w:val="00746C01"/>
    <w:rsid w:val="00746FEE"/>
    <w:rsid w:val="00747010"/>
    <w:rsid w:val="007470E9"/>
    <w:rsid w:val="00747280"/>
    <w:rsid w:val="007476B2"/>
    <w:rsid w:val="0075007B"/>
    <w:rsid w:val="007500A6"/>
    <w:rsid w:val="00750371"/>
    <w:rsid w:val="0075043B"/>
    <w:rsid w:val="00750920"/>
    <w:rsid w:val="00750CBB"/>
    <w:rsid w:val="0075107F"/>
    <w:rsid w:val="00751592"/>
    <w:rsid w:val="00751833"/>
    <w:rsid w:val="00751AE5"/>
    <w:rsid w:val="00751FE6"/>
    <w:rsid w:val="00751FF1"/>
    <w:rsid w:val="00752270"/>
    <w:rsid w:val="00752895"/>
    <w:rsid w:val="00752C54"/>
    <w:rsid w:val="00752CD8"/>
    <w:rsid w:val="00753025"/>
    <w:rsid w:val="0075350D"/>
    <w:rsid w:val="00753A79"/>
    <w:rsid w:val="00753FDA"/>
    <w:rsid w:val="0075401B"/>
    <w:rsid w:val="00754694"/>
    <w:rsid w:val="00754861"/>
    <w:rsid w:val="00754BF8"/>
    <w:rsid w:val="00754C1A"/>
    <w:rsid w:val="00755750"/>
    <w:rsid w:val="007558BC"/>
    <w:rsid w:val="00755C91"/>
    <w:rsid w:val="00755D22"/>
    <w:rsid w:val="007561F6"/>
    <w:rsid w:val="00756275"/>
    <w:rsid w:val="00756295"/>
    <w:rsid w:val="007570A0"/>
    <w:rsid w:val="00757149"/>
    <w:rsid w:val="00757D11"/>
    <w:rsid w:val="00757E71"/>
    <w:rsid w:val="0076032B"/>
    <w:rsid w:val="0076034B"/>
    <w:rsid w:val="00760561"/>
    <w:rsid w:val="00760622"/>
    <w:rsid w:val="00760672"/>
    <w:rsid w:val="0076099E"/>
    <w:rsid w:val="00760BD0"/>
    <w:rsid w:val="00760CAA"/>
    <w:rsid w:val="00760CBD"/>
    <w:rsid w:val="007615D6"/>
    <w:rsid w:val="00761966"/>
    <w:rsid w:val="00761A1E"/>
    <w:rsid w:val="0076213C"/>
    <w:rsid w:val="0076267A"/>
    <w:rsid w:val="007631A2"/>
    <w:rsid w:val="00763325"/>
    <w:rsid w:val="007634B4"/>
    <w:rsid w:val="0076358B"/>
    <w:rsid w:val="00763728"/>
    <w:rsid w:val="00763982"/>
    <w:rsid w:val="00764115"/>
    <w:rsid w:val="00764394"/>
    <w:rsid w:val="0076446D"/>
    <w:rsid w:val="0076470A"/>
    <w:rsid w:val="00764952"/>
    <w:rsid w:val="00764B72"/>
    <w:rsid w:val="00764C98"/>
    <w:rsid w:val="00764E7C"/>
    <w:rsid w:val="00765BA8"/>
    <w:rsid w:val="007669FB"/>
    <w:rsid w:val="00766D5A"/>
    <w:rsid w:val="00766D9F"/>
    <w:rsid w:val="00766ED0"/>
    <w:rsid w:val="00766EE1"/>
    <w:rsid w:val="00766FD0"/>
    <w:rsid w:val="007674E6"/>
    <w:rsid w:val="0076788A"/>
    <w:rsid w:val="00767979"/>
    <w:rsid w:val="00767DDE"/>
    <w:rsid w:val="007705A8"/>
    <w:rsid w:val="00770A47"/>
    <w:rsid w:val="00771119"/>
    <w:rsid w:val="00771526"/>
    <w:rsid w:val="00771760"/>
    <w:rsid w:val="00771787"/>
    <w:rsid w:val="0077182D"/>
    <w:rsid w:val="007719BF"/>
    <w:rsid w:val="00771F43"/>
    <w:rsid w:val="00772398"/>
    <w:rsid w:val="00772968"/>
    <w:rsid w:val="00773417"/>
    <w:rsid w:val="00773C61"/>
    <w:rsid w:val="00773D29"/>
    <w:rsid w:val="00773E49"/>
    <w:rsid w:val="007744D0"/>
    <w:rsid w:val="00774772"/>
    <w:rsid w:val="00774AEB"/>
    <w:rsid w:val="007755F0"/>
    <w:rsid w:val="00775A07"/>
    <w:rsid w:val="0077601F"/>
    <w:rsid w:val="00776317"/>
    <w:rsid w:val="00776C62"/>
    <w:rsid w:val="00776D26"/>
    <w:rsid w:val="00776EC3"/>
    <w:rsid w:val="00776F81"/>
    <w:rsid w:val="00777830"/>
    <w:rsid w:val="007779FE"/>
    <w:rsid w:val="00777D7A"/>
    <w:rsid w:val="00777F54"/>
    <w:rsid w:val="007801CD"/>
    <w:rsid w:val="007801EE"/>
    <w:rsid w:val="0078066A"/>
    <w:rsid w:val="007806CD"/>
    <w:rsid w:val="00780E19"/>
    <w:rsid w:val="00780F29"/>
    <w:rsid w:val="00781252"/>
    <w:rsid w:val="007819B5"/>
    <w:rsid w:val="007819E8"/>
    <w:rsid w:val="0078220B"/>
    <w:rsid w:val="00782B51"/>
    <w:rsid w:val="00782B91"/>
    <w:rsid w:val="007833F0"/>
    <w:rsid w:val="0078370D"/>
    <w:rsid w:val="00783C23"/>
    <w:rsid w:val="00784061"/>
    <w:rsid w:val="0078415F"/>
    <w:rsid w:val="007842B9"/>
    <w:rsid w:val="00784625"/>
    <w:rsid w:val="00784964"/>
    <w:rsid w:val="00784ACE"/>
    <w:rsid w:val="00784E71"/>
    <w:rsid w:val="00785E60"/>
    <w:rsid w:val="007860E1"/>
    <w:rsid w:val="0078646D"/>
    <w:rsid w:val="00786694"/>
    <w:rsid w:val="00786936"/>
    <w:rsid w:val="0078695F"/>
    <w:rsid w:val="0078771A"/>
    <w:rsid w:val="007877C9"/>
    <w:rsid w:val="00787852"/>
    <w:rsid w:val="00787A30"/>
    <w:rsid w:val="0079012A"/>
    <w:rsid w:val="00790386"/>
    <w:rsid w:val="007905C8"/>
    <w:rsid w:val="007907E1"/>
    <w:rsid w:val="00790883"/>
    <w:rsid w:val="00791000"/>
    <w:rsid w:val="00791173"/>
    <w:rsid w:val="00791307"/>
    <w:rsid w:val="0079152A"/>
    <w:rsid w:val="00791920"/>
    <w:rsid w:val="007920D4"/>
    <w:rsid w:val="007922DF"/>
    <w:rsid w:val="00792BE6"/>
    <w:rsid w:val="00793AB4"/>
    <w:rsid w:val="00793F33"/>
    <w:rsid w:val="00794339"/>
    <w:rsid w:val="0079486B"/>
    <w:rsid w:val="00794E49"/>
    <w:rsid w:val="00795395"/>
    <w:rsid w:val="007954DB"/>
    <w:rsid w:val="00795F5C"/>
    <w:rsid w:val="0079608B"/>
    <w:rsid w:val="00796528"/>
    <w:rsid w:val="007969B5"/>
    <w:rsid w:val="00796D77"/>
    <w:rsid w:val="00796FCB"/>
    <w:rsid w:val="0079777B"/>
    <w:rsid w:val="00797B19"/>
    <w:rsid w:val="00797C52"/>
    <w:rsid w:val="007A02F6"/>
    <w:rsid w:val="007A04D3"/>
    <w:rsid w:val="007A0529"/>
    <w:rsid w:val="007A0894"/>
    <w:rsid w:val="007A096B"/>
    <w:rsid w:val="007A0A35"/>
    <w:rsid w:val="007A1C4A"/>
    <w:rsid w:val="007A1CC2"/>
    <w:rsid w:val="007A1CFE"/>
    <w:rsid w:val="007A1D46"/>
    <w:rsid w:val="007A2041"/>
    <w:rsid w:val="007A2192"/>
    <w:rsid w:val="007A247A"/>
    <w:rsid w:val="007A24CE"/>
    <w:rsid w:val="007A2820"/>
    <w:rsid w:val="007A2A11"/>
    <w:rsid w:val="007A2E32"/>
    <w:rsid w:val="007A2FFE"/>
    <w:rsid w:val="007A3C48"/>
    <w:rsid w:val="007A3FB3"/>
    <w:rsid w:val="007A42A7"/>
    <w:rsid w:val="007A4B04"/>
    <w:rsid w:val="007A4C9F"/>
    <w:rsid w:val="007A4D4B"/>
    <w:rsid w:val="007A4DE3"/>
    <w:rsid w:val="007A4DEC"/>
    <w:rsid w:val="007A503A"/>
    <w:rsid w:val="007A5310"/>
    <w:rsid w:val="007A5352"/>
    <w:rsid w:val="007A5379"/>
    <w:rsid w:val="007A56CF"/>
    <w:rsid w:val="007A58F0"/>
    <w:rsid w:val="007A6041"/>
    <w:rsid w:val="007A696C"/>
    <w:rsid w:val="007A6A56"/>
    <w:rsid w:val="007A6ACA"/>
    <w:rsid w:val="007A6B11"/>
    <w:rsid w:val="007A6EAF"/>
    <w:rsid w:val="007A6ECF"/>
    <w:rsid w:val="007A70FD"/>
    <w:rsid w:val="007A7257"/>
    <w:rsid w:val="007A76BE"/>
    <w:rsid w:val="007A7892"/>
    <w:rsid w:val="007A7975"/>
    <w:rsid w:val="007A7ABB"/>
    <w:rsid w:val="007A7CCD"/>
    <w:rsid w:val="007A7E9E"/>
    <w:rsid w:val="007B0663"/>
    <w:rsid w:val="007B079D"/>
    <w:rsid w:val="007B09E3"/>
    <w:rsid w:val="007B0E48"/>
    <w:rsid w:val="007B1006"/>
    <w:rsid w:val="007B1020"/>
    <w:rsid w:val="007B1111"/>
    <w:rsid w:val="007B11FE"/>
    <w:rsid w:val="007B147E"/>
    <w:rsid w:val="007B1E8F"/>
    <w:rsid w:val="007B24FF"/>
    <w:rsid w:val="007B2517"/>
    <w:rsid w:val="007B2705"/>
    <w:rsid w:val="007B2A07"/>
    <w:rsid w:val="007B2B17"/>
    <w:rsid w:val="007B35C3"/>
    <w:rsid w:val="007B3771"/>
    <w:rsid w:val="007B381C"/>
    <w:rsid w:val="007B3ACC"/>
    <w:rsid w:val="007B3C32"/>
    <w:rsid w:val="007B3CE7"/>
    <w:rsid w:val="007B474C"/>
    <w:rsid w:val="007B4A3B"/>
    <w:rsid w:val="007B4F1F"/>
    <w:rsid w:val="007B5407"/>
    <w:rsid w:val="007B57F6"/>
    <w:rsid w:val="007B5CF4"/>
    <w:rsid w:val="007B5E90"/>
    <w:rsid w:val="007B5EB5"/>
    <w:rsid w:val="007B632B"/>
    <w:rsid w:val="007B6872"/>
    <w:rsid w:val="007B6C95"/>
    <w:rsid w:val="007B707B"/>
    <w:rsid w:val="007B7331"/>
    <w:rsid w:val="007B7640"/>
    <w:rsid w:val="007B7821"/>
    <w:rsid w:val="007B7AB6"/>
    <w:rsid w:val="007B7F72"/>
    <w:rsid w:val="007C0294"/>
    <w:rsid w:val="007C0C6E"/>
    <w:rsid w:val="007C0D00"/>
    <w:rsid w:val="007C0DF6"/>
    <w:rsid w:val="007C18CC"/>
    <w:rsid w:val="007C1A93"/>
    <w:rsid w:val="007C1FBC"/>
    <w:rsid w:val="007C23B7"/>
    <w:rsid w:val="007C2527"/>
    <w:rsid w:val="007C2C80"/>
    <w:rsid w:val="007C2D37"/>
    <w:rsid w:val="007C31F6"/>
    <w:rsid w:val="007C3406"/>
    <w:rsid w:val="007C3684"/>
    <w:rsid w:val="007C3794"/>
    <w:rsid w:val="007C39D6"/>
    <w:rsid w:val="007C3AB1"/>
    <w:rsid w:val="007C4095"/>
    <w:rsid w:val="007C4637"/>
    <w:rsid w:val="007C47E0"/>
    <w:rsid w:val="007C5238"/>
    <w:rsid w:val="007C5C41"/>
    <w:rsid w:val="007C5CB5"/>
    <w:rsid w:val="007C5FE2"/>
    <w:rsid w:val="007C6B79"/>
    <w:rsid w:val="007C719C"/>
    <w:rsid w:val="007C72EA"/>
    <w:rsid w:val="007C7468"/>
    <w:rsid w:val="007C76CC"/>
    <w:rsid w:val="007C7951"/>
    <w:rsid w:val="007D0257"/>
    <w:rsid w:val="007D0EED"/>
    <w:rsid w:val="007D12A0"/>
    <w:rsid w:val="007D1386"/>
    <w:rsid w:val="007D166F"/>
    <w:rsid w:val="007D17D4"/>
    <w:rsid w:val="007D18F8"/>
    <w:rsid w:val="007D2024"/>
    <w:rsid w:val="007D2907"/>
    <w:rsid w:val="007D2B06"/>
    <w:rsid w:val="007D328E"/>
    <w:rsid w:val="007D3B16"/>
    <w:rsid w:val="007D3C36"/>
    <w:rsid w:val="007D3EB4"/>
    <w:rsid w:val="007D3F12"/>
    <w:rsid w:val="007D40F4"/>
    <w:rsid w:val="007D4B94"/>
    <w:rsid w:val="007D4E06"/>
    <w:rsid w:val="007D4E29"/>
    <w:rsid w:val="007D4FAB"/>
    <w:rsid w:val="007D54D3"/>
    <w:rsid w:val="007D575D"/>
    <w:rsid w:val="007D5B43"/>
    <w:rsid w:val="007D5C64"/>
    <w:rsid w:val="007D6015"/>
    <w:rsid w:val="007D6239"/>
    <w:rsid w:val="007D63B0"/>
    <w:rsid w:val="007D63F5"/>
    <w:rsid w:val="007D66FA"/>
    <w:rsid w:val="007D6D60"/>
    <w:rsid w:val="007D6EC5"/>
    <w:rsid w:val="007D72D2"/>
    <w:rsid w:val="007D7528"/>
    <w:rsid w:val="007D7646"/>
    <w:rsid w:val="007D7F9E"/>
    <w:rsid w:val="007E01BF"/>
    <w:rsid w:val="007E01E4"/>
    <w:rsid w:val="007E0538"/>
    <w:rsid w:val="007E08BA"/>
    <w:rsid w:val="007E0B53"/>
    <w:rsid w:val="007E0C30"/>
    <w:rsid w:val="007E0FE0"/>
    <w:rsid w:val="007E127D"/>
    <w:rsid w:val="007E1767"/>
    <w:rsid w:val="007E184C"/>
    <w:rsid w:val="007E1A9F"/>
    <w:rsid w:val="007E2617"/>
    <w:rsid w:val="007E32C9"/>
    <w:rsid w:val="007E3EFD"/>
    <w:rsid w:val="007E4017"/>
    <w:rsid w:val="007E4160"/>
    <w:rsid w:val="007E434A"/>
    <w:rsid w:val="007E4549"/>
    <w:rsid w:val="007E4C93"/>
    <w:rsid w:val="007E4D70"/>
    <w:rsid w:val="007E4E8D"/>
    <w:rsid w:val="007E4FE2"/>
    <w:rsid w:val="007E5033"/>
    <w:rsid w:val="007E52C6"/>
    <w:rsid w:val="007E52EF"/>
    <w:rsid w:val="007E5A76"/>
    <w:rsid w:val="007E5B4D"/>
    <w:rsid w:val="007E5E7F"/>
    <w:rsid w:val="007E6711"/>
    <w:rsid w:val="007E6725"/>
    <w:rsid w:val="007E69D1"/>
    <w:rsid w:val="007E6DE6"/>
    <w:rsid w:val="007E6F58"/>
    <w:rsid w:val="007E78CA"/>
    <w:rsid w:val="007E7A90"/>
    <w:rsid w:val="007E7CF5"/>
    <w:rsid w:val="007E7D36"/>
    <w:rsid w:val="007E7D5C"/>
    <w:rsid w:val="007E7E8C"/>
    <w:rsid w:val="007F02B3"/>
    <w:rsid w:val="007F0485"/>
    <w:rsid w:val="007F0EBE"/>
    <w:rsid w:val="007F110A"/>
    <w:rsid w:val="007F123E"/>
    <w:rsid w:val="007F1341"/>
    <w:rsid w:val="007F13EE"/>
    <w:rsid w:val="007F1697"/>
    <w:rsid w:val="007F190C"/>
    <w:rsid w:val="007F1A50"/>
    <w:rsid w:val="007F1D85"/>
    <w:rsid w:val="007F34BD"/>
    <w:rsid w:val="007F39F8"/>
    <w:rsid w:val="007F3CD6"/>
    <w:rsid w:val="007F43CE"/>
    <w:rsid w:val="007F43FF"/>
    <w:rsid w:val="007F4794"/>
    <w:rsid w:val="007F4861"/>
    <w:rsid w:val="007F4AF8"/>
    <w:rsid w:val="007F4B8D"/>
    <w:rsid w:val="007F4D1B"/>
    <w:rsid w:val="007F4D74"/>
    <w:rsid w:val="007F4E8E"/>
    <w:rsid w:val="007F5489"/>
    <w:rsid w:val="007F59FA"/>
    <w:rsid w:val="007F5CEE"/>
    <w:rsid w:val="007F6BC5"/>
    <w:rsid w:val="007F6E0E"/>
    <w:rsid w:val="007F6EAF"/>
    <w:rsid w:val="007F7BAE"/>
    <w:rsid w:val="007F7E27"/>
    <w:rsid w:val="008000D4"/>
    <w:rsid w:val="00801332"/>
    <w:rsid w:val="00801724"/>
    <w:rsid w:val="008018F1"/>
    <w:rsid w:val="00801F2B"/>
    <w:rsid w:val="008026BC"/>
    <w:rsid w:val="00802819"/>
    <w:rsid w:val="00802D1F"/>
    <w:rsid w:val="008034F7"/>
    <w:rsid w:val="00803547"/>
    <w:rsid w:val="008039F0"/>
    <w:rsid w:val="00803D75"/>
    <w:rsid w:val="008048D8"/>
    <w:rsid w:val="00804BE1"/>
    <w:rsid w:val="00804F6D"/>
    <w:rsid w:val="00805139"/>
    <w:rsid w:val="008051DE"/>
    <w:rsid w:val="00805441"/>
    <w:rsid w:val="0080548E"/>
    <w:rsid w:val="0080551D"/>
    <w:rsid w:val="00805C54"/>
    <w:rsid w:val="00805CBA"/>
    <w:rsid w:val="00806A01"/>
    <w:rsid w:val="00806D7A"/>
    <w:rsid w:val="00806F6F"/>
    <w:rsid w:val="00807065"/>
    <w:rsid w:val="008070B0"/>
    <w:rsid w:val="00807294"/>
    <w:rsid w:val="008108EB"/>
    <w:rsid w:val="00810AA6"/>
    <w:rsid w:val="00811064"/>
    <w:rsid w:val="00811091"/>
    <w:rsid w:val="008112C4"/>
    <w:rsid w:val="008113D9"/>
    <w:rsid w:val="0081166B"/>
    <w:rsid w:val="00811742"/>
    <w:rsid w:val="00811785"/>
    <w:rsid w:val="008117DA"/>
    <w:rsid w:val="00811C0D"/>
    <w:rsid w:val="00812BB6"/>
    <w:rsid w:val="00812C43"/>
    <w:rsid w:val="00813A8C"/>
    <w:rsid w:val="00814058"/>
    <w:rsid w:val="00814064"/>
    <w:rsid w:val="008142F2"/>
    <w:rsid w:val="008144B2"/>
    <w:rsid w:val="00814A16"/>
    <w:rsid w:val="00814AF9"/>
    <w:rsid w:val="00815088"/>
    <w:rsid w:val="008158EA"/>
    <w:rsid w:val="008159CD"/>
    <w:rsid w:val="00815F71"/>
    <w:rsid w:val="00816069"/>
    <w:rsid w:val="00816093"/>
    <w:rsid w:val="0081645D"/>
    <w:rsid w:val="0081656F"/>
    <w:rsid w:val="00816A63"/>
    <w:rsid w:val="00816F84"/>
    <w:rsid w:val="00817077"/>
    <w:rsid w:val="00817091"/>
    <w:rsid w:val="008171B1"/>
    <w:rsid w:val="008172B1"/>
    <w:rsid w:val="0081775C"/>
    <w:rsid w:val="00817CC1"/>
    <w:rsid w:val="00817EC9"/>
    <w:rsid w:val="00817EEF"/>
    <w:rsid w:val="00817FBB"/>
    <w:rsid w:val="00820635"/>
    <w:rsid w:val="008208AC"/>
    <w:rsid w:val="00820DA0"/>
    <w:rsid w:val="00822E7D"/>
    <w:rsid w:val="0082329E"/>
    <w:rsid w:val="008233CA"/>
    <w:rsid w:val="00823407"/>
    <w:rsid w:val="008239B1"/>
    <w:rsid w:val="0082449A"/>
    <w:rsid w:val="00824581"/>
    <w:rsid w:val="00824AA6"/>
    <w:rsid w:val="00824E3B"/>
    <w:rsid w:val="008261DA"/>
    <w:rsid w:val="008263CF"/>
    <w:rsid w:val="008265C7"/>
    <w:rsid w:val="00827452"/>
    <w:rsid w:val="00827468"/>
    <w:rsid w:val="0083030E"/>
    <w:rsid w:val="0083043E"/>
    <w:rsid w:val="00830B37"/>
    <w:rsid w:val="00830FE6"/>
    <w:rsid w:val="00831212"/>
    <w:rsid w:val="0083122A"/>
    <w:rsid w:val="00831558"/>
    <w:rsid w:val="00831567"/>
    <w:rsid w:val="00831897"/>
    <w:rsid w:val="0083190C"/>
    <w:rsid w:val="00831F99"/>
    <w:rsid w:val="0083273D"/>
    <w:rsid w:val="00832D8B"/>
    <w:rsid w:val="00832EC6"/>
    <w:rsid w:val="0083333F"/>
    <w:rsid w:val="00833627"/>
    <w:rsid w:val="00833717"/>
    <w:rsid w:val="008339D6"/>
    <w:rsid w:val="00833A6C"/>
    <w:rsid w:val="008343CC"/>
    <w:rsid w:val="0083470F"/>
    <w:rsid w:val="00834AE7"/>
    <w:rsid w:val="00834B15"/>
    <w:rsid w:val="008350C8"/>
    <w:rsid w:val="008350D2"/>
    <w:rsid w:val="00835151"/>
    <w:rsid w:val="008353D4"/>
    <w:rsid w:val="00835AFE"/>
    <w:rsid w:val="00836017"/>
    <w:rsid w:val="008360B5"/>
    <w:rsid w:val="00836A1B"/>
    <w:rsid w:val="00836C18"/>
    <w:rsid w:val="00836C2C"/>
    <w:rsid w:val="00836D95"/>
    <w:rsid w:val="00836F74"/>
    <w:rsid w:val="008370F4"/>
    <w:rsid w:val="00837191"/>
    <w:rsid w:val="008375F9"/>
    <w:rsid w:val="008379E4"/>
    <w:rsid w:val="00837C4A"/>
    <w:rsid w:val="008401A2"/>
    <w:rsid w:val="0084021D"/>
    <w:rsid w:val="00840278"/>
    <w:rsid w:val="00840368"/>
    <w:rsid w:val="008405E9"/>
    <w:rsid w:val="00840CC2"/>
    <w:rsid w:val="00840E01"/>
    <w:rsid w:val="00840F8A"/>
    <w:rsid w:val="00841305"/>
    <w:rsid w:val="00841654"/>
    <w:rsid w:val="00841952"/>
    <w:rsid w:val="00841A2B"/>
    <w:rsid w:val="00841B0C"/>
    <w:rsid w:val="00841BBC"/>
    <w:rsid w:val="00841EA4"/>
    <w:rsid w:val="008420B2"/>
    <w:rsid w:val="008421FF"/>
    <w:rsid w:val="008426A2"/>
    <w:rsid w:val="008426F8"/>
    <w:rsid w:val="00842B0C"/>
    <w:rsid w:val="00842B3B"/>
    <w:rsid w:val="00842C80"/>
    <w:rsid w:val="00842E39"/>
    <w:rsid w:val="00842E90"/>
    <w:rsid w:val="00842F63"/>
    <w:rsid w:val="00842FB5"/>
    <w:rsid w:val="008431F8"/>
    <w:rsid w:val="00843699"/>
    <w:rsid w:val="008436BC"/>
    <w:rsid w:val="0084372B"/>
    <w:rsid w:val="008437AA"/>
    <w:rsid w:val="00843822"/>
    <w:rsid w:val="008438B6"/>
    <w:rsid w:val="00843B49"/>
    <w:rsid w:val="00843D77"/>
    <w:rsid w:val="0084460A"/>
    <w:rsid w:val="00844835"/>
    <w:rsid w:val="00844E33"/>
    <w:rsid w:val="00845202"/>
    <w:rsid w:val="00845824"/>
    <w:rsid w:val="00845D12"/>
    <w:rsid w:val="00846124"/>
    <w:rsid w:val="0084630C"/>
    <w:rsid w:val="0084648A"/>
    <w:rsid w:val="0084700D"/>
    <w:rsid w:val="00847E30"/>
    <w:rsid w:val="00850047"/>
    <w:rsid w:val="008502B5"/>
    <w:rsid w:val="00850D6D"/>
    <w:rsid w:val="00850E1B"/>
    <w:rsid w:val="00851430"/>
    <w:rsid w:val="00851A0A"/>
    <w:rsid w:val="00851F9B"/>
    <w:rsid w:val="0085264F"/>
    <w:rsid w:val="00852919"/>
    <w:rsid w:val="008529A4"/>
    <w:rsid w:val="00852C45"/>
    <w:rsid w:val="00852FF7"/>
    <w:rsid w:val="00853379"/>
    <w:rsid w:val="008534FF"/>
    <w:rsid w:val="00854183"/>
    <w:rsid w:val="0085436B"/>
    <w:rsid w:val="00854B05"/>
    <w:rsid w:val="00854BD6"/>
    <w:rsid w:val="00854FFB"/>
    <w:rsid w:val="0085603D"/>
    <w:rsid w:val="00856437"/>
    <w:rsid w:val="008567E7"/>
    <w:rsid w:val="00856CE8"/>
    <w:rsid w:val="00856DC7"/>
    <w:rsid w:val="00857750"/>
    <w:rsid w:val="00857997"/>
    <w:rsid w:val="00857D28"/>
    <w:rsid w:val="00857EC2"/>
    <w:rsid w:val="00857F43"/>
    <w:rsid w:val="00860229"/>
    <w:rsid w:val="00860539"/>
    <w:rsid w:val="008606B0"/>
    <w:rsid w:val="008606DA"/>
    <w:rsid w:val="00860DFF"/>
    <w:rsid w:val="00860EB4"/>
    <w:rsid w:val="00861BA6"/>
    <w:rsid w:val="008622FC"/>
    <w:rsid w:val="00862388"/>
    <w:rsid w:val="0086238B"/>
    <w:rsid w:val="008624CB"/>
    <w:rsid w:val="00862713"/>
    <w:rsid w:val="00862F36"/>
    <w:rsid w:val="00862F78"/>
    <w:rsid w:val="00863360"/>
    <w:rsid w:val="0086423E"/>
    <w:rsid w:val="00864611"/>
    <w:rsid w:val="008652CF"/>
    <w:rsid w:val="00865327"/>
    <w:rsid w:val="00865661"/>
    <w:rsid w:val="0086567F"/>
    <w:rsid w:val="00865724"/>
    <w:rsid w:val="00866D8D"/>
    <w:rsid w:val="008671D4"/>
    <w:rsid w:val="00867348"/>
    <w:rsid w:val="008677D7"/>
    <w:rsid w:val="008678A6"/>
    <w:rsid w:val="00867ED6"/>
    <w:rsid w:val="00867F15"/>
    <w:rsid w:val="00870300"/>
    <w:rsid w:val="00870812"/>
    <w:rsid w:val="00870939"/>
    <w:rsid w:val="008715F1"/>
    <w:rsid w:val="008719A8"/>
    <w:rsid w:val="00871E57"/>
    <w:rsid w:val="00871FA6"/>
    <w:rsid w:val="008720C5"/>
    <w:rsid w:val="00872203"/>
    <w:rsid w:val="008722EC"/>
    <w:rsid w:val="00872635"/>
    <w:rsid w:val="00872693"/>
    <w:rsid w:val="00872B90"/>
    <w:rsid w:val="00873531"/>
    <w:rsid w:val="0087384D"/>
    <w:rsid w:val="00873AC0"/>
    <w:rsid w:val="00873C0A"/>
    <w:rsid w:val="008742A8"/>
    <w:rsid w:val="00874329"/>
    <w:rsid w:val="008746D5"/>
    <w:rsid w:val="008749A7"/>
    <w:rsid w:val="00875292"/>
    <w:rsid w:val="008754EE"/>
    <w:rsid w:val="008757D8"/>
    <w:rsid w:val="00876347"/>
    <w:rsid w:val="00876509"/>
    <w:rsid w:val="00876A2A"/>
    <w:rsid w:val="00876B53"/>
    <w:rsid w:val="00876DCA"/>
    <w:rsid w:val="00876E45"/>
    <w:rsid w:val="008772C8"/>
    <w:rsid w:val="00877467"/>
    <w:rsid w:val="0087769A"/>
    <w:rsid w:val="00877938"/>
    <w:rsid w:val="00877BF6"/>
    <w:rsid w:val="00877C01"/>
    <w:rsid w:val="00877D14"/>
    <w:rsid w:val="00880687"/>
    <w:rsid w:val="008807A2"/>
    <w:rsid w:val="00881013"/>
    <w:rsid w:val="008810E7"/>
    <w:rsid w:val="008816EB"/>
    <w:rsid w:val="00881936"/>
    <w:rsid w:val="008819AB"/>
    <w:rsid w:val="00881AA6"/>
    <w:rsid w:val="00881C6B"/>
    <w:rsid w:val="00881DD0"/>
    <w:rsid w:val="00882A12"/>
    <w:rsid w:val="00882BA9"/>
    <w:rsid w:val="00884100"/>
    <w:rsid w:val="00884274"/>
    <w:rsid w:val="00884CED"/>
    <w:rsid w:val="00884D8A"/>
    <w:rsid w:val="00884F92"/>
    <w:rsid w:val="008851B1"/>
    <w:rsid w:val="0088543B"/>
    <w:rsid w:val="00885607"/>
    <w:rsid w:val="00886243"/>
    <w:rsid w:val="00886523"/>
    <w:rsid w:val="00886679"/>
    <w:rsid w:val="00886861"/>
    <w:rsid w:val="00886A37"/>
    <w:rsid w:val="00886DED"/>
    <w:rsid w:val="0088707E"/>
    <w:rsid w:val="00887500"/>
    <w:rsid w:val="008876EA"/>
    <w:rsid w:val="00887768"/>
    <w:rsid w:val="00887A3F"/>
    <w:rsid w:val="00887FF1"/>
    <w:rsid w:val="008904AE"/>
    <w:rsid w:val="00890DC1"/>
    <w:rsid w:val="00890E92"/>
    <w:rsid w:val="008912CA"/>
    <w:rsid w:val="008913E0"/>
    <w:rsid w:val="00891A7F"/>
    <w:rsid w:val="00891DBE"/>
    <w:rsid w:val="00892271"/>
    <w:rsid w:val="00892355"/>
    <w:rsid w:val="0089251B"/>
    <w:rsid w:val="008925C4"/>
    <w:rsid w:val="00892623"/>
    <w:rsid w:val="00892AC6"/>
    <w:rsid w:val="00893270"/>
    <w:rsid w:val="008932D2"/>
    <w:rsid w:val="008934CB"/>
    <w:rsid w:val="00893BE7"/>
    <w:rsid w:val="00894382"/>
    <w:rsid w:val="008947C2"/>
    <w:rsid w:val="0089492A"/>
    <w:rsid w:val="00894DF1"/>
    <w:rsid w:val="00895037"/>
    <w:rsid w:val="00895184"/>
    <w:rsid w:val="00895432"/>
    <w:rsid w:val="00895B52"/>
    <w:rsid w:val="00895C2A"/>
    <w:rsid w:val="00895FE2"/>
    <w:rsid w:val="008969DB"/>
    <w:rsid w:val="00896AC8"/>
    <w:rsid w:val="00896C49"/>
    <w:rsid w:val="00896CB1"/>
    <w:rsid w:val="008970BB"/>
    <w:rsid w:val="00897676"/>
    <w:rsid w:val="008A06F2"/>
    <w:rsid w:val="008A0D99"/>
    <w:rsid w:val="008A10BC"/>
    <w:rsid w:val="008A1307"/>
    <w:rsid w:val="008A18E5"/>
    <w:rsid w:val="008A19D8"/>
    <w:rsid w:val="008A23C6"/>
    <w:rsid w:val="008A2B3C"/>
    <w:rsid w:val="008A32E5"/>
    <w:rsid w:val="008A371E"/>
    <w:rsid w:val="008A3760"/>
    <w:rsid w:val="008A3DD3"/>
    <w:rsid w:val="008A3E54"/>
    <w:rsid w:val="008A3F60"/>
    <w:rsid w:val="008A40AE"/>
    <w:rsid w:val="008A4222"/>
    <w:rsid w:val="008A4BEC"/>
    <w:rsid w:val="008A52F8"/>
    <w:rsid w:val="008A5648"/>
    <w:rsid w:val="008A5A8B"/>
    <w:rsid w:val="008A5C94"/>
    <w:rsid w:val="008A5D07"/>
    <w:rsid w:val="008A5ECA"/>
    <w:rsid w:val="008A5F6A"/>
    <w:rsid w:val="008A6284"/>
    <w:rsid w:val="008A64C7"/>
    <w:rsid w:val="008A6681"/>
    <w:rsid w:val="008A6707"/>
    <w:rsid w:val="008A6BA9"/>
    <w:rsid w:val="008A7212"/>
    <w:rsid w:val="008A7601"/>
    <w:rsid w:val="008B040C"/>
    <w:rsid w:val="008B0A47"/>
    <w:rsid w:val="008B0A86"/>
    <w:rsid w:val="008B107B"/>
    <w:rsid w:val="008B1540"/>
    <w:rsid w:val="008B169F"/>
    <w:rsid w:val="008B16EE"/>
    <w:rsid w:val="008B1E3F"/>
    <w:rsid w:val="008B20EE"/>
    <w:rsid w:val="008B2BB9"/>
    <w:rsid w:val="008B2C18"/>
    <w:rsid w:val="008B3212"/>
    <w:rsid w:val="008B332A"/>
    <w:rsid w:val="008B36CC"/>
    <w:rsid w:val="008B392C"/>
    <w:rsid w:val="008B3964"/>
    <w:rsid w:val="008B442D"/>
    <w:rsid w:val="008B4B41"/>
    <w:rsid w:val="008B4B7F"/>
    <w:rsid w:val="008B4E34"/>
    <w:rsid w:val="008B50B2"/>
    <w:rsid w:val="008B55D6"/>
    <w:rsid w:val="008B5BFA"/>
    <w:rsid w:val="008B5E8F"/>
    <w:rsid w:val="008B6877"/>
    <w:rsid w:val="008B6E62"/>
    <w:rsid w:val="008B6F52"/>
    <w:rsid w:val="008B7236"/>
    <w:rsid w:val="008B7279"/>
    <w:rsid w:val="008B7314"/>
    <w:rsid w:val="008B742C"/>
    <w:rsid w:val="008B74FD"/>
    <w:rsid w:val="008B7834"/>
    <w:rsid w:val="008C0C7E"/>
    <w:rsid w:val="008C0D99"/>
    <w:rsid w:val="008C1892"/>
    <w:rsid w:val="008C1C7E"/>
    <w:rsid w:val="008C1D3D"/>
    <w:rsid w:val="008C1D48"/>
    <w:rsid w:val="008C1EC2"/>
    <w:rsid w:val="008C2192"/>
    <w:rsid w:val="008C2577"/>
    <w:rsid w:val="008C25E2"/>
    <w:rsid w:val="008C27BA"/>
    <w:rsid w:val="008C2B50"/>
    <w:rsid w:val="008C2F4E"/>
    <w:rsid w:val="008C3182"/>
    <w:rsid w:val="008C38D4"/>
    <w:rsid w:val="008C3B16"/>
    <w:rsid w:val="008C3C11"/>
    <w:rsid w:val="008C41E8"/>
    <w:rsid w:val="008C4668"/>
    <w:rsid w:val="008C4EE4"/>
    <w:rsid w:val="008C4F17"/>
    <w:rsid w:val="008C4F92"/>
    <w:rsid w:val="008C56F6"/>
    <w:rsid w:val="008C5ECE"/>
    <w:rsid w:val="008C5F7E"/>
    <w:rsid w:val="008C5F97"/>
    <w:rsid w:val="008C6022"/>
    <w:rsid w:val="008C636E"/>
    <w:rsid w:val="008C63DE"/>
    <w:rsid w:val="008C641A"/>
    <w:rsid w:val="008C682E"/>
    <w:rsid w:val="008C706C"/>
    <w:rsid w:val="008C726F"/>
    <w:rsid w:val="008C7A30"/>
    <w:rsid w:val="008C7CB9"/>
    <w:rsid w:val="008D028C"/>
    <w:rsid w:val="008D0A2C"/>
    <w:rsid w:val="008D101F"/>
    <w:rsid w:val="008D15DC"/>
    <w:rsid w:val="008D1A1B"/>
    <w:rsid w:val="008D246B"/>
    <w:rsid w:val="008D2601"/>
    <w:rsid w:val="008D26F9"/>
    <w:rsid w:val="008D2F91"/>
    <w:rsid w:val="008D336A"/>
    <w:rsid w:val="008D3CEB"/>
    <w:rsid w:val="008D3D7D"/>
    <w:rsid w:val="008D40CB"/>
    <w:rsid w:val="008D4C0A"/>
    <w:rsid w:val="008D4DBA"/>
    <w:rsid w:val="008D523F"/>
    <w:rsid w:val="008D5373"/>
    <w:rsid w:val="008D5EB5"/>
    <w:rsid w:val="008D6036"/>
    <w:rsid w:val="008D6526"/>
    <w:rsid w:val="008D66F6"/>
    <w:rsid w:val="008D733A"/>
    <w:rsid w:val="008E0163"/>
    <w:rsid w:val="008E01FD"/>
    <w:rsid w:val="008E05C2"/>
    <w:rsid w:val="008E0A79"/>
    <w:rsid w:val="008E0C19"/>
    <w:rsid w:val="008E0EBD"/>
    <w:rsid w:val="008E11E5"/>
    <w:rsid w:val="008E1408"/>
    <w:rsid w:val="008E187A"/>
    <w:rsid w:val="008E2053"/>
    <w:rsid w:val="008E24B1"/>
    <w:rsid w:val="008E2556"/>
    <w:rsid w:val="008E271F"/>
    <w:rsid w:val="008E2D70"/>
    <w:rsid w:val="008E3210"/>
    <w:rsid w:val="008E3329"/>
    <w:rsid w:val="008E3964"/>
    <w:rsid w:val="008E3FB2"/>
    <w:rsid w:val="008E434B"/>
    <w:rsid w:val="008E4486"/>
    <w:rsid w:val="008E44EF"/>
    <w:rsid w:val="008E4993"/>
    <w:rsid w:val="008E4AB1"/>
    <w:rsid w:val="008E4E26"/>
    <w:rsid w:val="008E522F"/>
    <w:rsid w:val="008E52CF"/>
    <w:rsid w:val="008E57C4"/>
    <w:rsid w:val="008E5A2E"/>
    <w:rsid w:val="008E5B47"/>
    <w:rsid w:val="008E5CBC"/>
    <w:rsid w:val="008E6A24"/>
    <w:rsid w:val="008E6BE1"/>
    <w:rsid w:val="008E72AB"/>
    <w:rsid w:val="008E781A"/>
    <w:rsid w:val="008E7C2E"/>
    <w:rsid w:val="008E7EB0"/>
    <w:rsid w:val="008F0073"/>
    <w:rsid w:val="008F01DB"/>
    <w:rsid w:val="008F07FF"/>
    <w:rsid w:val="008F0DEB"/>
    <w:rsid w:val="008F10FA"/>
    <w:rsid w:val="008F10FE"/>
    <w:rsid w:val="008F1166"/>
    <w:rsid w:val="008F127E"/>
    <w:rsid w:val="008F171B"/>
    <w:rsid w:val="008F1930"/>
    <w:rsid w:val="008F1C56"/>
    <w:rsid w:val="008F224B"/>
    <w:rsid w:val="008F26FD"/>
    <w:rsid w:val="008F29CA"/>
    <w:rsid w:val="008F2F1E"/>
    <w:rsid w:val="008F3AB8"/>
    <w:rsid w:val="008F3EA2"/>
    <w:rsid w:val="008F4225"/>
    <w:rsid w:val="008F4685"/>
    <w:rsid w:val="008F4895"/>
    <w:rsid w:val="008F4C25"/>
    <w:rsid w:val="008F521B"/>
    <w:rsid w:val="008F55EE"/>
    <w:rsid w:val="008F5694"/>
    <w:rsid w:val="008F5761"/>
    <w:rsid w:val="008F5CDE"/>
    <w:rsid w:val="008F6949"/>
    <w:rsid w:val="008F6BAE"/>
    <w:rsid w:val="008F716D"/>
    <w:rsid w:val="008F736C"/>
    <w:rsid w:val="008F75BA"/>
    <w:rsid w:val="008F7BB0"/>
    <w:rsid w:val="008F7E3A"/>
    <w:rsid w:val="0090061C"/>
    <w:rsid w:val="00900CF1"/>
    <w:rsid w:val="00900F00"/>
    <w:rsid w:val="00901C7D"/>
    <w:rsid w:val="00901D97"/>
    <w:rsid w:val="009020F4"/>
    <w:rsid w:val="0090225F"/>
    <w:rsid w:val="00902C5C"/>
    <w:rsid w:val="00902FAD"/>
    <w:rsid w:val="0090326A"/>
    <w:rsid w:val="0090336A"/>
    <w:rsid w:val="0090362A"/>
    <w:rsid w:val="009036BF"/>
    <w:rsid w:val="00903A11"/>
    <w:rsid w:val="009045A0"/>
    <w:rsid w:val="00904741"/>
    <w:rsid w:val="0090479F"/>
    <w:rsid w:val="00904D62"/>
    <w:rsid w:val="00905C06"/>
    <w:rsid w:val="00905CE0"/>
    <w:rsid w:val="00905DD0"/>
    <w:rsid w:val="009062BA"/>
    <w:rsid w:val="009063F8"/>
    <w:rsid w:val="00906930"/>
    <w:rsid w:val="00906F51"/>
    <w:rsid w:val="009071A8"/>
    <w:rsid w:val="00907B8B"/>
    <w:rsid w:val="00907CB3"/>
    <w:rsid w:val="00910342"/>
    <w:rsid w:val="00910977"/>
    <w:rsid w:val="00910C5D"/>
    <w:rsid w:val="0091108A"/>
    <w:rsid w:val="009110D7"/>
    <w:rsid w:val="00911213"/>
    <w:rsid w:val="00911C20"/>
    <w:rsid w:val="00911D2E"/>
    <w:rsid w:val="0091233B"/>
    <w:rsid w:val="00912F88"/>
    <w:rsid w:val="00913650"/>
    <w:rsid w:val="00913769"/>
    <w:rsid w:val="00913BFD"/>
    <w:rsid w:val="00913CDA"/>
    <w:rsid w:val="00913E6E"/>
    <w:rsid w:val="009142E2"/>
    <w:rsid w:val="00914B5A"/>
    <w:rsid w:val="00914BF2"/>
    <w:rsid w:val="00914ED8"/>
    <w:rsid w:val="00915391"/>
    <w:rsid w:val="00915749"/>
    <w:rsid w:val="00916287"/>
    <w:rsid w:val="00916726"/>
    <w:rsid w:val="00917169"/>
    <w:rsid w:val="0091727A"/>
    <w:rsid w:val="00920135"/>
    <w:rsid w:val="009204CF"/>
    <w:rsid w:val="009205E9"/>
    <w:rsid w:val="00920666"/>
    <w:rsid w:val="00921932"/>
    <w:rsid w:val="00921A15"/>
    <w:rsid w:val="00921CB7"/>
    <w:rsid w:val="00921DF3"/>
    <w:rsid w:val="00922A58"/>
    <w:rsid w:val="00922DB3"/>
    <w:rsid w:val="00922F40"/>
    <w:rsid w:val="0092342D"/>
    <w:rsid w:val="00923544"/>
    <w:rsid w:val="0092364B"/>
    <w:rsid w:val="009238FD"/>
    <w:rsid w:val="00923A3F"/>
    <w:rsid w:val="00923CB3"/>
    <w:rsid w:val="00923D5D"/>
    <w:rsid w:val="00924038"/>
    <w:rsid w:val="00924138"/>
    <w:rsid w:val="00924419"/>
    <w:rsid w:val="00924497"/>
    <w:rsid w:val="009245C1"/>
    <w:rsid w:val="00925142"/>
    <w:rsid w:val="0092550D"/>
    <w:rsid w:val="00925CCB"/>
    <w:rsid w:val="009260C9"/>
    <w:rsid w:val="00926489"/>
    <w:rsid w:val="00926B0E"/>
    <w:rsid w:val="00926C6C"/>
    <w:rsid w:val="00926E5E"/>
    <w:rsid w:val="0092794B"/>
    <w:rsid w:val="00927B4C"/>
    <w:rsid w:val="00927FD3"/>
    <w:rsid w:val="009300B9"/>
    <w:rsid w:val="00930142"/>
    <w:rsid w:val="00930501"/>
    <w:rsid w:val="009306A5"/>
    <w:rsid w:val="00930949"/>
    <w:rsid w:val="00930A8B"/>
    <w:rsid w:val="009316D6"/>
    <w:rsid w:val="00931871"/>
    <w:rsid w:val="00931C78"/>
    <w:rsid w:val="00931E1F"/>
    <w:rsid w:val="00932289"/>
    <w:rsid w:val="009328F0"/>
    <w:rsid w:val="00932EAC"/>
    <w:rsid w:val="0093319B"/>
    <w:rsid w:val="009331AC"/>
    <w:rsid w:val="0093337D"/>
    <w:rsid w:val="00933540"/>
    <w:rsid w:val="00934002"/>
    <w:rsid w:val="0093416C"/>
    <w:rsid w:val="0093417D"/>
    <w:rsid w:val="0093457D"/>
    <w:rsid w:val="00934BAE"/>
    <w:rsid w:val="00934E2A"/>
    <w:rsid w:val="00934FE1"/>
    <w:rsid w:val="009352BD"/>
    <w:rsid w:val="009355B3"/>
    <w:rsid w:val="00935B90"/>
    <w:rsid w:val="00936416"/>
    <w:rsid w:val="009365A5"/>
    <w:rsid w:val="00936B6C"/>
    <w:rsid w:val="00936D55"/>
    <w:rsid w:val="009372F6"/>
    <w:rsid w:val="009376B4"/>
    <w:rsid w:val="00937ACA"/>
    <w:rsid w:val="00937BBA"/>
    <w:rsid w:val="009403E3"/>
    <w:rsid w:val="0094059F"/>
    <w:rsid w:val="009405D7"/>
    <w:rsid w:val="00940712"/>
    <w:rsid w:val="00940A51"/>
    <w:rsid w:val="00940B53"/>
    <w:rsid w:val="00940F56"/>
    <w:rsid w:val="0094137C"/>
    <w:rsid w:val="0094153F"/>
    <w:rsid w:val="0094188B"/>
    <w:rsid w:val="00941895"/>
    <w:rsid w:val="00941CD1"/>
    <w:rsid w:val="0094296C"/>
    <w:rsid w:val="00942E36"/>
    <w:rsid w:val="00942E4C"/>
    <w:rsid w:val="00943181"/>
    <w:rsid w:val="0094363C"/>
    <w:rsid w:val="0094367B"/>
    <w:rsid w:val="00943BBC"/>
    <w:rsid w:val="00943EFF"/>
    <w:rsid w:val="00944474"/>
    <w:rsid w:val="00944A03"/>
    <w:rsid w:val="00944AAF"/>
    <w:rsid w:val="00944E51"/>
    <w:rsid w:val="009451B1"/>
    <w:rsid w:val="0094553E"/>
    <w:rsid w:val="0094575B"/>
    <w:rsid w:val="00945CC8"/>
    <w:rsid w:val="00945E3E"/>
    <w:rsid w:val="00945F5B"/>
    <w:rsid w:val="00946019"/>
    <w:rsid w:val="009461F7"/>
    <w:rsid w:val="00946387"/>
    <w:rsid w:val="00946534"/>
    <w:rsid w:val="009467CA"/>
    <w:rsid w:val="009467EC"/>
    <w:rsid w:val="009467F0"/>
    <w:rsid w:val="009468D3"/>
    <w:rsid w:val="009469E5"/>
    <w:rsid w:val="00946DB4"/>
    <w:rsid w:val="00946F67"/>
    <w:rsid w:val="0094709B"/>
    <w:rsid w:val="009475AE"/>
    <w:rsid w:val="00947D76"/>
    <w:rsid w:val="009502BB"/>
    <w:rsid w:val="009509F3"/>
    <w:rsid w:val="00950AF3"/>
    <w:rsid w:val="00950B8C"/>
    <w:rsid w:val="00950F83"/>
    <w:rsid w:val="00951CB5"/>
    <w:rsid w:val="0095265E"/>
    <w:rsid w:val="00952BF6"/>
    <w:rsid w:val="00953876"/>
    <w:rsid w:val="0095403D"/>
    <w:rsid w:val="009542DA"/>
    <w:rsid w:val="00954A00"/>
    <w:rsid w:val="0095530B"/>
    <w:rsid w:val="0095551C"/>
    <w:rsid w:val="009556F4"/>
    <w:rsid w:val="00955850"/>
    <w:rsid w:val="009558BB"/>
    <w:rsid w:val="00955D74"/>
    <w:rsid w:val="00955E80"/>
    <w:rsid w:val="00956239"/>
    <w:rsid w:val="00956B60"/>
    <w:rsid w:val="0096034C"/>
    <w:rsid w:val="00960E28"/>
    <w:rsid w:val="00961440"/>
    <w:rsid w:val="0096198D"/>
    <w:rsid w:val="00962262"/>
    <w:rsid w:val="009628D5"/>
    <w:rsid w:val="00962D0F"/>
    <w:rsid w:val="00962E02"/>
    <w:rsid w:val="00963285"/>
    <w:rsid w:val="009636F4"/>
    <w:rsid w:val="00963D62"/>
    <w:rsid w:val="00963F90"/>
    <w:rsid w:val="00964001"/>
    <w:rsid w:val="009647D9"/>
    <w:rsid w:val="009651CF"/>
    <w:rsid w:val="009651EF"/>
    <w:rsid w:val="0096533F"/>
    <w:rsid w:val="0096565F"/>
    <w:rsid w:val="00965A5B"/>
    <w:rsid w:val="00965FC8"/>
    <w:rsid w:val="00966119"/>
    <w:rsid w:val="0096649D"/>
    <w:rsid w:val="009669CB"/>
    <w:rsid w:val="00966BAD"/>
    <w:rsid w:val="009674AD"/>
    <w:rsid w:val="00967CF1"/>
    <w:rsid w:val="00967EAE"/>
    <w:rsid w:val="00967FBF"/>
    <w:rsid w:val="009704E2"/>
    <w:rsid w:val="00970803"/>
    <w:rsid w:val="00970996"/>
    <w:rsid w:val="00971820"/>
    <w:rsid w:val="0097242E"/>
    <w:rsid w:val="00972577"/>
    <w:rsid w:val="00973F01"/>
    <w:rsid w:val="00974179"/>
    <w:rsid w:val="00974430"/>
    <w:rsid w:val="00975005"/>
    <w:rsid w:val="00975323"/>
    <w:rsid w:val="009756D4"/>
    <w:rsid w:val="0097584B"/>
    <w:rsid w:val="00975DD4"/>
    <w:rsid w:val="00975EAA"/>
    <w:rsid w:val="00976118"/>
    <w:rsid w:val="0097646D"/>
    <w:rsid w:val="009768FF"/>
    <w:rsid w:val="00976AD1"/>
    <w:rsid w:val="00976B72"/>
    <w:rsid w:val="00976DE0"/>
    <w:rsid w:val="00976F0A"/>
    <w:rsid w:val="00977C5C"/>
    <w:rsid w:val="00977C6F"/>
    <w:rsid w:val="0098074B"/>
    <w:rsid w:val="00980777"/>
    <w:rsid w:val="00980A3C"/>
    <w:rsid w:val="00980ADC"/>
    <w:rsid w:val="00980BF2"/>
    <w:rsid w:val="00980C78"/>
    <w:rsid w:val="00981491"/>
    <w:rsid w:val="00981D4D"/>
    <w:rsid w:val="00981E08"/>
    <w:rsid w:val="00981E2F"/>
    <w:rsid w:val="00982086"/>
    <w:rsid w:val="00982613"/>
    <w:rsid w:val="00982951"/>
    <w:rsid w:val="00982EC9"/>
    <w:rsid w:val="00983157"/>
    <w:rsid w:val="009835BF"/>
    <w:rsid w:val="00983E44"/>
    <w:rsid w:val="00983E98"/>
    <w:rsid w:val="00984780"/>
    <w:rsid w:val="009850F9"/>
    <w:rsid w:val="0098520A"/>
    <w:rsid w:val="00985368"/>
    <w:rsid w:val="009856C0"/>
    <w:rsid w:val="0098572E"/>
    <w:rsid w:val="00985833"/>
    <w:rsid w:val="00985944"/>
    <w:rsid w:val="00985BD6"/>
    <w:rsid w:val="00986657"/>
    <w:rsid w:val="0098679F"/>
    <w:rsid w:val="009876D1"/>
    <w:rsid w:val="00987921"/>
    <w:rsid w:val="00987C71"/>
    <w:rsid w:val="00987D64"/>
    <w:rsid w:val="0099005B"/>
    <w:rsid w:val="0099054C"/>
    <w:rsid w:val="009906E2"/>
    <w:rsid w:val="009907D7"/>
    <w:rsid w:val="00990FC8"/>
    <w:rsid w:val="009910C4"/>
    <w:rsid w:val="00991169"/>
    <w:rsid w:val="0099156B"/>
    <w:rsid w:val="009915C8"/>
    <w:rsid w:val="00991858"/>
    <w:rsid w:val="009918EE"/>
    <w:rsid w:val="00991DEA"/>
    <w:rsid w:val="00991E8A"/>
    <w:rsid w:val="00991EFD"/>
    <w:rsid w:val="009920CA"/>
    <w:rsid w:val="009920FB"/>
    <w:rsid w:val="0099230F"/>
    <w:rsid w:val="0099295B"/>
    <w:rsid w:val="00992AAB"/>
    <w:rsid w:val="009930BB"/>
    <w:rsid w:val="0099344C"/>
    <w:rsid w:val="00993DF2"/>
    <w:rsid w:val="009942B5"/>
    <w:rsid w:val="00994444"/>
    <w:rsid w:val="009946EC"/>
    <w:rsid w:val="00995EB8"/>
    <w:rsid w:val="00995F29"/>
    <w:rsid w:val="009960AA"/>
    <w:rsid w:val="00996576"/>
    <w:rsid w:val="009966BF"/>
    <w:rsid w:val="00996C0A"/>
    <w:rsid w:val="00997A4F"/>
    <w:rsid w:val="00997A68"/>
    <w:rsid w:val="009A023D"/>
    <w:rsid w:val="009A030A"/>
    <w:rsid w:val="009A078A"/>
    <w:rsid w:val="009A0DE7"/>
    <w:rsid w:val="009A0FB8"/>
    <w:rsid w:val="009A10EE"/>
    <w:rsid w:val="009A11A0"/>
    <w:rsid w:val="009A12F3"/>
    <w:rsid w:val="009A1411"/>
    <w:rsid w:val="009A17E0"/>
    <w:rsid w:val="009A1907"/>
    <w:rsid w:val="009A1EFA"/>
    <w:rsid w:val="009A1F8D"/>
    <w:rsid w:val="009A26F5"/>
    <w:rsid w:val="009A2C18"/>
    <w:rsid w:val="009A2E67"/>
    <w:rsid w:val="009A2F39"/>
    <w:rsid w:val="009A33C7"/>
    <w:rsid w:val="009A3540"/>
    <w:rsid w:val="009A3C67"/>
    <w:rsid w:val="009A3CB6"/>
    <w:rsid w:val="009A3CF9"/>
    <w:rsid w:val="009A3FF3"/>
    <w:rsid w:val="009A420B"/>
    <w:rsid w:val="009A472C"/>
    <w:rsid w:val="009A4811"/>
    <w:rsid w:val="009A49A2"/>
    <w:rsid w:val="009A5049"/>
    <w:rsid w:val="009A51FE"/>
    <w:rsid w:val="009A5484"/>
    <w:rsid w:val="009A5487"/>
    <w:rsid w:val="009A5D0A"/>
    <w:rsid w:val="009A615B"/>
    <w:rsid w:val="009A668D"/>
    <w:rsid w:val="009A6949"/>
    <w:rsid w:val="009A7E0E"/>
    <w:rsid w:val="009B003A"/>
    <w:rsid w:val="009B0063"/>
    <w:rsid w:val="009B007E"/>
    <w:rsid w:val="009B061A"/>
    <w:rsid w:val="009B08F0"/>
    <w:rsid w:val="009B0C62"/>
    <w:rsid w:val="009B0CEF"/>
    <w:rsid w:val="009B1703"/>
    <w:rsid w:val="009B1950"/>
    <w:rsid w:val="009B199F"/>
    <w:rsid w:val="009B1EDB"/>
    <w:rsid w:val="009B2352"/>
    <w:rsid w:val="009B2C3D"/>
    <w:rsid w:val="009B3025"/>
    <w:rsid w:val="009B33FF"/>
    <w:rsid w:val="009B35BB"/>
    <w:rsid w:val="009B37E9"/>
    <w:rsid w:val="009B3C3F"/>
    <w:rsid w:val="009B3FD4"/>
    <w:rsid w:val="009B41A1"/>
    <w:rsid w:val="009B485A"/>
    <w:rsid w:val="009B489A"/>
    <w:rsid w:val="009B49B6"/>
    <w:rsid w:val="009B4AA5"/>
    <w:rsid w:val="009B4C29"/>
    <w:rsid w:val="009B4E0A"/>
    <w:rsid w:val="009B5045"/>
    <w:rsid w:val="009B5E41"/>
    <w:rsid w:val="009B65B6"/>
    <w:rsid w:val="009B68A0"/>
    <w:rsid w:val="009B6989"/>
    <w:rsid w:val="009B6B02"/>
    <w:rsid w:val="009B73B4"/>
    <w:rsid w:val="009B7BD3"/>
    <w:rsid w:val="009B7E4A"/>
    <w:rsid w:val="009C0080"/>
    <w:rsid w:val="009C0106"/>
    <w:rsid w:val="009C03C6"/>
    <w:rsid w:val="009C0633"/>
    <w:rsid w:val="009C081D"/>
    <w:rsid w:val="009C0E0C"/>
    <w:rsid w:val="009C0E64"/>
    <w:rsid w:val="009C1380"/>
    <w:rsid w:val="009C146E"/>
    <w:rsid w:val="009C1495"/>
    <w:rsid w:val="009C159B"/>
    <w:rsid w:val="009C2880"/>
    <w:rsid w:val="009C28F9"/>
    <w:rsid w:val="009C2A0A"/>
    <w:rsid w:val="009C3487"/>
    <w:rsid w:val="009C3807"/>
    <w:rsid w:val="009C3A55"/>
    <w:rsid w:val="009C402E"/>
    <w:rsid w:val="009C4077"/>
    <w:rsid w:val="009C41E4"/>
    <w:rsid w:val="009C450E"/>
    <w:rsid w:val="009C46FD"/>
    <w:rsid w:val="009C4858"/>
    <w:rsid w:val="009C4C92"/>
    <w:rsid w:val="009C50D6"/>
    <w:rsid w:val="009C57EE"/>
    <w:rsid w:val="009C5879"/>
    <w:rsid w:val="009C59A7"/>
    <w:rsid w:val="009C60CB"/>
    <w:rsid w:val="009C6121"/>
    <w:rsid w:val="009C6206"/>
    <w:rsid w:val="009C6742"/>
    <w:rsid w:val="009C6744"/>
    <w:rsid w:val="009C6A19"/>
    <w:rsid w:val="009C7D61"/>
    <w:rsid w:val="009D03B3"/>
    <w:rsid w:val="009D0556"/>
    <w:rsid w:val="009D05ED"/>
    <w:rsid w:val="009D063F"/>
    <w:rsid w:val="009D0781"/>
    <w:rsid w:val="009D11D4"/>
    <w:rsid w:val="009D1E19"/>
    <w:rsid w:val="009D223D"/>
    <w:rsid w:val="009D2913"/>
    <w:rsid w:val="009D2A4F"/>
    <w:rsid w:val="009D2E0D"/>
    <w:rsid w:val="009D2F25"/>
    <w:rsid w:val="009D309A"/>
    <w:rsid w:val="009D34B0"/>
    <w:rsid w:val="009D3ABF"/>
    <w:rsid w:val="009D3F20"/>
    <w:rsid w:val="009D4126"/>
    <w:rsid w:val="009D43E5"/>
    <w:rsid w:val="009D4855"/>
    <w:rsid w:val="009D48BC"/>
    <w:rsid w:val="009D49B0"/>
    <w:rsid w:val="009D4D44"/>
    <w:rsid w:val="009D50F8"/>
    <w:rsid w:val="009D54B4"/>
    <w:rsid w:val="009D58ED"/>
    <w:rsid w:val="009D5D2C"/>
    <w:rsid w:val="009D6082"/>
    <w:rsid w:val="009D62AC"/>
    <w:rsid w:val="009D6351"/>
    <w:rsid w:val="009D666D"/>
    <w:rsid w:val="009D6818"/>
    <w:rsid w:val="009D6825"/>
    <w:rsid w:val="009D6CCE"/>
    <w:rsid w:val="009D7387"/>
    <w:rsid w:val="009D763D"/>
    <w:rsid w:val="009D7AC4"/>
    <w:rsid w:val="009D7C07"/>
    <w:rsid w:val="009E0215"/>
    <w:rsid w:val="009E0631"/>
    <w:rsid w:val="009E0A5E"/>
    <w:rsid w:val="009E0B6F"/>
    <w:rsid w:val="009E1209"/>
    <w:rsid w:val="009E16A9"/>
    <w:rsid w:val="009E18B9"/>
    <w:rsid w:val="009E1987"/>
    <w:rsid w:val="009E1B94"/>
    <w:rsid w:val="009E1C7B"/>
    <w:rsid w:val="009E1E5E"/>
    <w:rsid w:val="009E2180"/>
    <w:rsid w:val="009E226A"/>
    <w:rsid w:val="009E2AEA"/>
    <w:rsid w:val="009E2D93"/>
    <w:rsid w:val="009E3205"/>
    <w:rsid w:val="009E3344"/>
    <w:rsid w:val="009E3845"/>
    <w:rsid w:val="009E39CC"/>
    <w:rsid w:val="009E40E1"/>
    <w:rsid w:val="009E45A6"/>
    <w:rsid w:val="009E4687"/>
    <w:rsid w:val="009E485D"/>
    <w:rsid w:val="009E4912"/>
    <w:rsid w:val="009E4EA7"/>
    <w:rsid w:val="009E4F4B"/>
    <w:rsid w:val="009E4FE9"/>
    <w:rsid w:val="009E5456"/>
    <w:rsid w:val="009E5893"/>
    <w:rsid w:val="009E5AA1"/>
    <w:rsid w:val="009E6154"/>
    <w:rsid w:val="009E61CA"/>
    <w:rsid w:val="009E6374"/>
    <w:rsid w:val="009E6652"/>
    <w:rsid w:val="009E67F4"/>
    <w:rsid w:val="009E6AFB"/>
    <w:rsid w:val="009E6B8C"/>
    <w:rsid w:val="009E6BC4"/>
    <w:rsid w:val="009E71C4"/>
    <w:rsid w:val="009E7318"/>
    <w:rsid w:val="009E7DC4"/>
    <w:rsid w:val="009F0148"/>
    <w:rsid w:val="009F01CE"/>
    <w:rsid w:val="009F040B"/>
    <w:rsid w:val="009F0637"/>
    <w:rsid w:val="009F111B"/>
    <w:rsid w:val="009F132C"/>
    <w:rsid w:val="009F160A"/>
    <w:rsid w:val="009F1760"/>
    <w:rsid w:val="009F1F86"/>
    <w:rsid w:val="009F2977"/>
    <w:rsid w:val="009F2AE4"/>
    <w:rsid w:val="009F2B9F"/>
    <w:rsid w:val="009F2C02"/>
    <w:rsid w:val="009F4051"/>
    <w:rsid w:val="009F426D"/>
    <w:rsid w:val="009F45E4"/>
    <w:rsid w:val="009F4835"/>
    <w:rsid w:val="009F4AA2"/>
    <w:rsid w:val="009F4DA4"/>
    <w:rsid w:val="009F5204"/>
    <w:rsid w:val="009F560D"/>
    <w:rsid w:val="009F564D"/>
    <w:rsid w:val="009F588B"/>
    <w:rsid w:val="009F59A8"/>
    <w:rsid w:val="009F6031"/>
    <w:rsid w:val="009F648E"/>
    <w:rsid w:val="009F68A3"/>
    <w:rsid w:val="009F6F9C"/>
    <w:rsid w:val="009F7136"/>
    <w:rsid w:val="009F7A9B"/>
    <w:rsid w:val="00A00720"/>
    <w:rsid w:val="00A0082C"/>
    <w:rsid w:val="00A0125D"/>
    <w:rsid w:val="00A013FF"/>
    <w:rsid w:val="00A015F9"/>
    <w:rsid w:val="00A01702"/>
    <w:rsid w:val="00A01781"/>
    <w:rsid w:val="00A01D72"/>
    <w:rsid w:val="00A01DD5"/>
    <w:rsid w:val="00A0275A"/>
    <w:rsid w:val="00A027EC"/>
    <w:rsid w:val="00A02B31"/>
    <w:rsid w:val="00A02DEC"/>
    <w:rsid w:val="00A03318"/>
    <w:rsid w:val="00A03B33"/>
    <w:rsid w:val="00A03BB2"/>
    <w:rsid w:val="00A03EE1"/>
    <w:rsid w:val="00A040F1"/>
    <w:rsid w:val="00A04B4E"/>
    <w:rsid w:val="00A05338"/>
    <w:rsid w:val="00A05957"/>
    <w:rsid w:val="00A05C34"/>
    <w:rsid w:val="00A062F0"/>
    <w:rsid w:val="00A068C4"/>
    <w:rsid w:val="00A075ED"/>
    <w:rsid w:val="00A07625"/>
    <w:rsid w:val="00A07975"/>
    <w:rsid w:val="00A07B6C"/>
    <w:rsid w:val="00A1003A"/>
    <w:rsid w:val="00A10055"/>
    <w:rsid w:val="00A105FB"/>
    <w:rsid w:val="00A1084A"/>
    <w:rsid w:val="00A109B4"/>
    <w:rsid w:val="00A11340"/>
    <w:rsid w:val="00A11451"/>
    <w:rsid w:val="00A115DF"/>
    <w:rsid w:val="00A11846"/>
    <w:rsid w:val="00A11A57"/>
    <w:rsid w:val="00A122B9"/>
    <w:rsid w:val="00A1245B"/>
    <w:rsid w:val="00A12678"/>
    <w:rsid w:val="00A13019"/>
    <w:rsid w:val="00A133C9"/>
    <w:rsid w:val="00A13F60"/>
    <w:rsid w:val="00A1419A"/>
    <w:rsid w:val="00A148CD"/>
    <w:rsid w:val="00A14980"/>
    <w:rsid w:val="00A153B0"/>
    <w:rsid w:val="00A157FF"/>
    <w:rsid w:val="00A1597D"/>
    <w:rsid w:val="00A15AD3"/>
    <w:rsid w:val="00A15F13"/>
    <w:rsid w:val="00A1607B"/>
    <w:rsid w:val="00A161F8"/>
    <w:rsid w:val="00A16282"/>
    <w:rsid w:val="00A1640A"/>
    <w:rsid w:val="00A167ED"/>
    <w:rsid w:val="00A16A09"/>
    <w:rsid w:val="00A172E6"/>
    <w:rsid w:val="00A17C18"/>
    <w:rsid w:val="00A17DB9"/>
    <w:rsid w:val="00A201B3"/>
    <w:rsid w:val="00A204C9"/>
    <w:rsid w:val="00A2064C"/>
    <w:rsid w:val="00A20675"/>
    <w:rsid w:val="00A20FFD"/>
    <w:rsid w:val="00A21149"/>
    <w:rsid w:val="00A2122D"/>
    <w:rsid w:val="00A2169F"/>
    <w:rsid w:val="00A218E3"/>
    <w:rsid w:val="00A21C7C"/>
    <w:rsid w:val="00A22020"/>
    <w:rsid w:val="00A2216E"/>
    <w:rsid w:val="00A237BF"/>
    <w:rsid w:val="00A2484D"/>
    <w:rsid w:val="00A2496D"/>
    <w:rsid w:val="00A24DD4"/>
    <w:rsid w:val="00A25686"/>
    <w:rsid w:val="00A25A49"/>
    <w:rsid w:val="00A26398"/>
    <w:rsid w:val="00A26D4C"/>
    <w:rsid w:val="00A27386"/>
    <w:rsid w:val="00A273A5"/>
    <w:rsid w:val="00A274A2"/>
    <w:rsid w:val="00A276EA"/>
    <w:rsid w:val="00A27924"/>
    <w:rsid w:val="00A27DB2"/>
    <w:rsid w:val="00A304C8"/>
    <w:rsid w:val="00A3055C"/>
    <w:rsid w:val="00A3087A"/>
    <w:rsid w:val="00A30B98"/>
    <w:rsid w:val="00A31344"/>
    <w:rsid w:val="00A31409"/>
    <w:rsid w:val="00A325E0"/>
    <w:rsid w:val="00A32875"/>
    <w:rsid w:val="00A3321B"/>
    <w:rsid w:val="00A33CB8"/>
    <w:rsid w:val="00A33D24"/>
    <w:rsid w:val="00A349DE"/>
    <w:rsid w:val="00A3506A"/>
    <w:rsid w:val="00A35189"/>
    <w:rsid w:val="00A361DC"/>
    <w:rsid w:val="00A36481"/>
    <w:rsid w:val="00A36881"/>
    <w:rsid w:val="00A36B03"/>
    <w:rsid w:val="00A36ECB"/>
    <w:rsid w:val="00A37285"/>
    <w:rsid w:val="00A37E1C"/>
    <w:rsid w:val="00A400C6"/>
    <w:rsid w:val="00A401DC"/>
    <w:rsid w:val="00A41B2A"/>
    <w:rsid w:val="00A41D22"/>
    <w:rsid w:val="00A42145"/>
    <w:rsid w:val="00A42DE7"/>
    <w:rsid w:val="00A43074"/>
    <w:rsid w:val="00A43155"/>
    <w:rsid w:val="00A437EB"/>
    <w:rsid w:val="00A43F4B"/>
    <w:rsid w:val="00A44033"/>
    <w:rsid w:val="00A442B1"/>
    <w:rsid w:val="00A4493B"/>
    <w:rsid w:val="00A44D4D"/>
    <w:rsid w:val="00A450B1"/>
    <w:rsid w:val="00A451A2"/>
    <w:rsid w:val="00A453A7"/>
    <w:rsid w:val="00A45497"/>
    <w:rsid w:val="00A45F75"/>
    <w:rsid w:val="00A46DA3"/>
    <w:rsid w:val="00A475C9"/>
    <w:rsid w:val="00A476F4"/>
    <w:rsid w:val="00A50102"/>
    <w:rsid w:val="00A50103"/>
    <w:rsid w:val="00A5049C"/>
    <w:rsid w:val="00A505D9"/>
    <w:rsid w:val="00A50AEA"/>
    <w:rsid w:val="00A50CB3"/>
    <w:rsid w:val="00A50DDE"/>
    <w:rsid w:val="00A50EA5"/>
    <w:rsid w:val="00A50F98"/>
    <w:rsid w:val="00A5129A"/>
    <w:rsid w:val="00A51496"/>
    <w:rsid w:val="00A5175C"/>
    <w:rsid w:val="00A518BF"/>
    <w:rsid w:val="00A51EBC"/>
    <w:rsid w:val="00A51FED"/>
    <w:rsid w:val="00A52366"/>
    <w:rsid w:val="00A524CD"/>
    <w:rsid w:val="00A52BFF"/>
    <w:rsid w:val="00A52F5D"/>
    <w:rsid w:val="00A5343D"/>
    <w:rsid w:val="00A53DC8"/>
    <w:rsid w:val="00A54CB9"/>
    <w:rsid w:val="00A54DB6"/>
    <w:rsid w:val="00A551AC"/>
    <w:rsid w:val="00A5532F"/>
    <w:rsid w:val="00A55734"/>
    <w:rsid w:val="00A55DF5"/>
    <w:rsid w:val="00A5625E"/>
    <w:rsid w:val="00A57366"/>
    <w:rsid w:val="00A574C1"/>
    <w:rsid w:val="00A57582"/>
    <w:rsid w:val="00A578C7"/>
    <w:rsid w:val="00A57FFA"/>
    <w:rsid w:val="00A60593"/>
    <w:rsid w:val="00A60666"/>
    <w:rsid w:val="00A60948"/>
    <w:rsid w:val="00A609B8"/>
    <w:rsid w:val="00A610A9"/>
    <w:rsid w:val="00A6113D"/>
    <w:rsid w:val="00A61996"/>
    <w:rsid w:val="00A61F76"/>
    <w:rsid w:val="00A620F6"/>
    <w:rsid w:val="00A62136"/>
    <w:rsid w:val="00A622C4"/>
    <w:rsid w:val="00A624EC"/>
    <w:rsid w:val="00A62EA1"/>
    <w:rsid w:val="00A62F7A"/>
    <w:rsid w:val="00A63023"/>
    <w:rsid w:val="00A63277"/>
    <w:rsid w:val="00A63B4B"/>
    <w:rsid w:val="00A63B77"/>
    <w:rsid w:val="00A63BCB"/>
    <w:rsid w:val="00A63BE4"/>
    <w:rsid w:val="00A64403"/>
    <w:rsid w:val="00A646F3"/>
    <w:rsid w:val="00A6499F"/>
    <w:rsid w:val="00A64AE6"/>
    <w:rsid w:val="00A66041"/>
    <w:rsid w:val="00A668D2"/>
    <w:rsid w:val="00A66A4D"/>
    <w:rsid w:val="00A6727F"/>
    <w:rsid w:val="00A6738E"/>
    <w:rsid w:val="00A67863"/>
    <w:rsid w:val="00A67947"/>
    <w:rsid w:val="00A67995"/>
    <w:rsid w:val="00A67CDF"/>
    <w:rsid w:val="00A70155"/>
    <w:rsid w:val="00A70191"/>
    <w:rsid w:val="00A709EB"/>
    <w:rsid w:val="00A70DDE"/>
    <w:rsid w:val="00A70EA3"/>
    <w:rsid w:val="00A71094"/>
    <w:rsid w:val="00A714DD"/>
    <w:rsid w:val="00A714E2"/>
    <w:rsid w:val="00A71F1D"/>
    <w:rsid w:val="00A71FEE"/>
    <w:rsid w:val="00A72118"/>
    <w:rsid w:val="00A7262A"/>
    <w:rsid w:val="00A73576"/>
    <w:rsid w:val="00A737A1"/>
    <w:rsid w:val="00A73904"/>
    <w:rsid w:val="00A73BB4"/>
    <w:rsid w:val="00A73BD6"/>
    <w:rsid w:val="00A73D96"/>
    <w:rsid w:val="00A73DA9"/>
    <w:rsid w:val="00A742F7"/>
    <w:rsid w:val="00A7459D"/>
    <w:rsid w:val="00A74AC9"/>
    <w:rsid w:val="00A75298"/>
    <w:rsid w:val="00A75538"/>
    <w:rsid w:val="00A75576"/>
    <w:rsid w:val="00A7561A"/>
    <w:rsid w:val="00A75737"/>
    <w:rsid w:val="00A76245"/>
    <w:rsid w:val="00A76B6A"/>
    <w:rsid w:val="00A76D04"/>
    <w:rsid w:val="00A76E39"/>
    <w:rsid w:val="00A80111"/>
    <w:rsid w:val="00A8063F"/>
    <w:rsid w:val="00A80688"/>
    <w:rsid w:val="00A80E80"/>
    <w:rsid w:val="00A81098"/>
    <w:rsid w:val="00A81130"/>
    <w:rsid w:val="00A81393"/>
    <w:rsid w:val="00A81A19"/>
    <w:rsid w:val="00A821C7"/>
    <w:rsid w:val="00A82C6F"/>
    <w:rsid w:val="00A83671"/>
    <w:rsid w:val="00A8447F"/>
    <w:rsid w:val="00A851CB"/>
    <w:rsid w:val="00A852E3"/>
    <w:rsid w:val="00A857D9"/>
    <w:rsid w:val="00A858B2"/>
    <w:rsid w:val="00A85985"/>
    <w:rsid w:val="00A85E0F"/>
    <w:rsid w:val="00A861B3"/>
    <w:rsid w:val="00A86786"/>
    <w:rsid w:val="00A86C57"/>
    <w:rsid w:val="00A87074"/>
    <w:rsid w:val="00A871D0"/>
    <w:rsid w:val="00A87619"/>
    <w:rsid w:val="00A877D4"/>
    <w:rsid w:val="00A878F1"/>
    <w:rsid w:val="00A879C5"/>
    <w:rsid w:val="00A87CD8"/>
    <w:rsid w:val="00A90113"/>
    <w:rsid w:val="00A90251"/>
    <w:rsid w:val="00A905D2"/>
    <w:rsid w:val="00A91512"/>
    <w:rsid w:val="00A9173A"/>
    <w:rsid w:val="00A91D54"/>
    <w:rsid w:val="00A927A8"/>
    <w:rsid w:val="00A9291F"/>
    <w:rsid w:val="00A92978"/>
    <w:rsid w:val="00A92B62"/>
    <w:rsid w:val="00A92CFA"/>
    <w:rsid w:val="00A9319D"/>
    <w:rsid w:val="00A932E9"/>
    <w:rsid w:val="00A938FF"/>
    <w:rsid w:val="00A940FC"/>
    <w:rsid w:val="00A94914"/>
    <w:rsid w:val="00A94BD1"/>
    <w:rsid w:val="00A94CDB"/>
    <w:rsid w:val="00A94D9A"/>
    <w:rsid w:val="00A95189"/>
    <w:rsid w:val="00A95286"/>
    <w:rsid w:val="00A958F2"/>
    <w:rsid w:val="00A95F90"/>
    <w:rsid w:val="00A96006"/>
    <w:rsid w:val="00A963C9"/>
    <w:rsid w:val="00A96E32"/>
    <w:rsid w:val="00A97063"/>
    <w:rsid w:val="00A9714C"/>
    <w:rsid w:val="00A97177"/>
    <w:rsid w:val="00A971CE"/>
    <w:rsid w:val="00A97605"/>
    <w:rsid w:val="00A97B00"/>
    <w:rsid w:val="00A97B28"/>
    <w:rsid w:val="00AA0474"/>
    <w:rsid w:val="00AA05CC"/>
    <w:rsid w:val="00AA06F9"/>
    <w:rsid w:val="00AA0CEC"/>
    <w:rsid w:val="00AA0D25"/>
    <w:rsid w:val="00AA0D36"/>
    <w:rsid w:val="00AA0D93"/>
    <w:rsid w:val="00AA0FC9"/>
    <w:rsid w:val="00AA1303"/>
    <w:rsid w:val="00AA14A9"/>
    <w:rsid w:val="00AA165C"/>
    <w:rsid w:val="00AA2E69"/>
    <w:rsid w:val="00AA338A"/>
    <w:rsid w:val="00AA3450"/>
    <w:rsid w:val="00AA3A28"/>
    <w:rsid w:val="00AA3A3E"/>
    <w:rsid w:val="00AA462B"/>
    <w:rsid w:val="00AA4C83"/>
    <w:rsid w:val="00AA4F0F"/>
    <w:rsid w:val="00AA501A"/>
    <w:rsid w:val="00AA62FE"/>
    <w:rsid w:val="00AA633A"/>
    <w:rsid w:val="00AA67DD"/>
    <w:rsid w:val="00AA68A6"/>
    <w:rsid w:val="00AA6FA8"/>
    <w:rsid w:val="00AB07DE"/>
    <w:rsid w:val="00AB084F"/>
    <w:rsid w:val="00AB0A8B"/>
    <w:rsid w:val="00AB15A7"/>
    <w:rsid w:val="00AB1A7A"/>
    <w:rsid w:val="00AB2225"/>
    <w:rsid w:val="00AB26A3"/>
    <w:rsid w:val="00AB28D3"/>
    <w:rsid w:val="00AB338F"/>
    <w:rsid w:val="00AB360E"/>
    <w:rsid w:val="00AB3617"/>
    <w:rsid w:val="00AB3682"/>
    <w:rsid w:val="00AB3B2F"/>
    <w:rsid w:val="00AB3C93"/>
    <w:rsid w:val="00AB3E16"/>
    <w:rsid w:val="00AB3EE7"/>
    <w:rsid w:val="00AB4232"/>
    <w:rsid w:val="00AB4303"/>
    <w:rsid w:val="00AB4355"/>
    <w:rsid w:val="00AB441A"/>
    <w:rsid w:val="00AB445A"/>
    <w:rsid w:val="00AB48A1"/>
    <w:rsid w:val="00AB4E4B"/>
    <w:rsid w:val="00AB4F40"/>
    <w:rsid w:val="00AB5624"/>
    <w:rsid w:val="00AB59D3"/>
    <w:rsid w:val="00AB59DF"/>
    <w:rsid w:val="00AB5A98"/>
    <w:rsid w:val="00AB5B46"/>
    <w:rsid w:val="00AB6361"/>
    <w:rsid w:val="00AB65CD"/>
    <w:rsid w:val="00AB7820"/>
    <w:rsid w:val="00AB78C9"/>
    <w:rsid w:val="00AB79FC"/>
    <w:rsid w:val="00AB7D10"/>
    <w:rsid w:val="00AC091B"/>
    <w:rsid w:val="00AC0B64"/>
    <w:rsid w:val="00AC1371"/>
    <w:rsid w:val="00AC196E"/>
    <w:rsid w:val="00AC1DE0"/>
    <w:rsid w:val="00AC1E40"/>
    <w:rsid w:val="00AC1F8A"/>
    <w:rsid w:val="00AC23BD"/>
    <w:rsid w:val="00AC24D4"/>
    <w:rsid w:val="00AC2C42"/>
    <w:rsid w:val="00AC2EE0"/>
    <w:rsid w:val="00AC310E"/>
    <w:rsid w:val="00AC350C"/>
    <w:rsid w:val="00AC3510"/>
    <w:rsid w:val="00AC3557"/>
    <w:rsid w:val="00AC3C99"/>
    <w:rsid w:val="00AC3E02"/>
    <w:rsid w:val="00AC3EA6"/>
    <w:rsid w:val="00AC4129"/>
    <w:rsid w:val="00AC46E0"/>
    <w:rsid w:val="00AC51F8"/>
    <w:rsid w:val="00AC5644"/>
    <w:rsid w:val="00AC6471"/>
    <w:rsid w:val="00AC6490"/>
    <w:rsid w:val="00AC72D8"/>
    <w:rsid w:val="00AC7348"/>
    <w:rsid w:val="00AC73E7"/>
    <w:rsid w:val="00AC7B80"/>
    <w:rsid w:val="00AD0150"/>
    <w:rsid w:val="00AD047F"/>
    <w:rsid w:val="00AD04BB"/>
    <w:rsid w:val="00AD0764"/>
    <w:rsid w:val="00AD0ECB"/>
    <w:rsid w:val="00AD105C"/>
    <w:rsid w:val="00AD11F8"/>
    <w:rsid w:val="00AD15ED"/>
    <w:rsid w:val="00AD1675"/>
    <w:rsid w:val="00AD169B"/>
    <w:rsid w:val="00AD1AF5"/>
    <w:rsid w:val="00AD22A9"/>
    <w:rsid w:val="00AD2382"/>
    <w:rsid w:val="00AD2562"/>
    <w:rsid w:val="00AD28FD"/>
    <w:rsid w:val="00AD2B60"/>
    <w:rsid w:val="00AD2C8D"/>
    <w:rsid w:val="00AD302B"/>
    <w:rsid w:val="00AD30A2"/>
    <w:rsid w:val="00AD3506"/>
    <w:rsid w:val="00AD3ACF"/>
    <w:rsid w:val="00AD3F4E"/>
    <w:rsid w:val="00AD418C"/>
    <w:rsid w:val="00AD4566"/>
    <w:rsid w:val="00AD4847"/>
    <w:rsid w:val="00AD4B44"/>
    <w:rsid w:val="00AD4B53"/>
    <w:rsid w:val="00AD4CED"/>
    <w:rsid w:val="00AD4E0F"/>
    <w:rsid w:val="00AD57A8"/>
    <w:rsid w:val="00AD580C"/>
    <w:rsid w:val="00AD5A25"/>
    <w:rsid w:val="00AD5CB3"/>
    <w:rsid w:val="00AD6A6D"/>
    <w:rsid w:val="00AD6B31"/>
    <w:rsid w:val="00AD6F92"/>
    <w:rsid w:val="00AD6FBF"/>
    <w:rsid w:val="00AD70B0"/>
    <w:rsid w:val="00AD72B3"/>
    <w:rsid w:val="00AD74D5"/>
    <w:rsid w:val="00AD7F58"/>
    <w:rsid w:val="00AE0418"/>
    <w:rsid w:val="00AE05E2"/>
    <w:rsid w:val="00AE12AE"/>
    <w:rsid w:val="00AE14AE"/>
    <w:rsid w:val="00AE1712"/>
    <w:rsid w:val="00AE1719"/>
    <w:rsid w:val="00AE268B"/>
    <w:rsid w:val="00AE26AD"/>
    <w:rsid w:val="00AE2929"/>
    <w:rsid w:val="00AE2BA2"/>
    <w:rsid w:val="00AE35C6"/>
    <w:rsid w:val="00AE3707"/>
    <w:rsid w:val="00AE386F"/>
    <w:rsid w:val="00AE3DE2"/>
    <w:rsid w:val="00AE452A"/>
    <w:rsid w:val="00AE46FE"/>
    <w:rsid w:val="00AE4D46"/>
    <w:rsid w:val="00AE5241"/>
    <w:rsid w:val="00AE52AF"/>
    <w:rsid w:val="00AE53CB"/>
    <w:rsid w:val="00AE57CB"/>
    <w:rsid w:val="00AE59DA"/>
    <w:rsid w:val="00AE59E2"/>
    <w:rsid w:val="00AE5B3F"/>
    <w:rsid w:val="00AE5B41"/>
    <w:rsid w:val="00AE5C44"/>
    <w:rsid w:val="00AE5EC7"/>
    <w:rsid w:val="00AE66B5"/>
    <w:rsid w:val="00AE6974"/>
    <w:rsid w:val="00AE6C39"/>
    <w:rsid w:val="00AE6CAA"/>
    <w:rsid w:val="00AE6CEB"/>
    <w:rsid w:val="00AE705D"/>
    <w:rsid w:val="00AE718B"/>
    <w:rsid w:val="00AE785F"/>
    <w:rsid w:val="00AE7948"/>
    <w:rsid w:val="00AE7D71"/>
    <w:rsid w:val="00AF00DF"/>
    <w:rsid w:val="00AF01AD"/>
    <w:rsid w:val="00AF01BA"/>
    <w:rsid w:val="00AF0496"/>
    <w:rsid w:val="00AF04C7"/>
    <w:rsid w:val="00AF04CD"/>
    <w:rsid w:val="00AF051E"/>
    <w:rsid w:val="00AF0547"/>
    <w:rsid w:val="00AF0C3B"/>
    <w:rsid w:val="00AF0CE3"/>
    <w:rsid w:val="00AF15FF"/>
    <w:rsid w:val="00AF1876"/>
    <w:rsid w:val="00AF1E7B"/>
    <w:rsid w:val="00AF21B0"/>
    <w:rsid w:val="00AF2242"/>
    <w:rsid w:val="00AF2488"/>
    <w:rsid w:val="00AF26B0"/>
    <w:rsid w:val="00AF292A"/>
    <w:rsid w:val="00AF3209"/>
    <w:rsid w:val="00AF328F"/>
    <w:rsid w:val="00AF386C"/>
    <w:rsid w:val="00AF39EE"/>
    <w:rsid w:val="00AF3C6F"/>
    <w:rsid w:val="00AF3C8B"/>
    <w:rsid w:val="00AF3DF9"/>
    <w:rsid w:val="00AF3FC9"/>
    <w:rsid w:val="00AF4558"/>
    <w:rsid w:val="00AF4866"/>
    <w:rsid w:val="00AF4CDD"/>
    <w:rsid w:val="00AF51E4"/>
    <w:rsid w:val="00AF58BC"/>
    <w:rsid w:val="00AF6306"/>
    <w:rsid w:val="00AF6AFB"/>
    <w:rsid w:val="00AF6BFC"/>
    <w:rsid w:val="00AF6C8E"/>
    <w:rsid w:val="00AF703B"/>
    <w:rsid w:val="00AF712C"/>
    <w:rsid w:val="00AF7712"/>
    <w:rsid w:val="00AF780B"/>
    <w:rsid w:val="00B00010"/>
    <w:rsid w:val="00B0045F"/>
    <w:rsid w:val="00B00A34"/>
    <w:rsid w:val="00B00CDD"/>
    <w:rsid w:val="00B0104E"/>
    <w:rsid w:val="00B01170"/>
    <w:rsid w:val="00B01704"/>
    <w:rsid w:val="00B01BEE"/>
    <w:rsid w:val="00B0215F"/>
    <w:rsid w:val="00B02476"/>
    <w:rsid w:val="00B02546"/>
    <w:rsid w:val="00B027D1"/>
    <w:rsid w:val="00B02D77"/>
    <w:rsid w:val="00B02FB6"/>
    <w:rsid w:val="00B03288"/>
    <w:rsid w:val="00B0394E"/>
    <w:rsid w:val="00B03998"/>
    <w:rsid w:val="00B039DE"/>
    <w:rsid w:val="00B03C34"/>
    <w:rsid w:val="00B03CAA"/>
    <w:rsid w:val="00B041A8"/>
    <w:rsid w:val="00B043AF"/>
    <w:rsid w:val="00B046AD"/>
    <w:rsid w:val="00B04D55"/>
    <w:rsid w:val="00B054C1"/>
    <w:rsid w:val="00B0576A"/>
    <w:rsid w:val="00B057DF"/>
    <w:rsid w:val="00B059FA"/>
    <w:rsid w:val="00B05FB3"/>
    <w:rsid w:val="00B06044"/>
    <w:rsid w:val="00B0618A"/>
    <w:rsid w:val="00B063DA"/>
    <w:rsid w:val="00B064F1"/>
    <w:rsid w:val="00B065AF"/>
    <w:rsid w:val="00B06B34"/>
    <w:rsid w:val="00B06D45"/>
    <w:rsid w:val="00B0732E"/>
    <w:rsid w:val="00B0736C"/>
    <w:rsid w:val="00B07951"/>
    <w:rsid w:val="00B07CAA"/>
    <w:rsid w:val="00B1067A"/>
    <w:rsid w:val="00B107F5"/>
    <w:rsid w:val="00B10985"/>
    <w:rsid w:val="00B10A9D"/>
    <w:rsid w:val="00B10AF5"/>
    <w:rsid w:val="00B1119F"/>
    <w:rsid w:val="00B1146A"/>
    <w:rsid w:val="00B11EDC"/>
    <w:rsid w:val="00B12173"/>
    <w:rsid w:val="00B1230E"/>
    <w:rsid w:val="00B1234C"/>
    <w:rsid w:val="00B12552"/>
    <w:rsid w:val="00B125AA"/>
    <w:rsid w:val="00B1267F"/>
    <w:rsid w:val="00B1281D"/>
    <w:rsid w:val="00B12A32"/>
    <w:rsid w:val="00B12BE7"/>
    <w:rsid w:val="00B12E96"/>
    <w:rsid w:val="00B12F80"/>
    <w:rsid w:val="00B13013"/>
    <w:rsid w:val="00B146D5"/>
    <w:rsid w:val="00B14998"/>
    <w:rsid w:val="00B1547D"/>
    <w:rsid w:val="00B154D4"/>
    <w:rsid w:val="00B15AFE"/>
    <w:rsid w:val="00B15F55"/>
    <w:rsid w:val="00B1620A"/>
    <w:rsid w:val="00B162EA"/>
    <w:rsid w:val="00B169B5"/>
    <w:rsid w:val="00B16BDC"/>
    <w:rsid w:val="00B16DD5"/>
    <w:rsid w:val="00B16EE0"/>
    <w:rsid w:val="00B16F59"/>
    <w:rsid w:val="00B174C9"/>
    <w:rsid w:val="00B17648"/>
    <w:rsid w:val="00B17D94"/>
    <w:rsid w:val="00B20212"/>
    <w:rsid w:val="00B20968"/>
    <w:rsid w:val="00B21A32"/>
    <w:rsid w:val="00B21DAD"/>
    <w:rsid w:val="00B21E0E"/>
    <w:rsid w:val="00B22120"/>
    <w:rsid w:val="00B22A5B"/>
    <w:rsid w:val="00B22CF4"/>
    <w:rsid w:val="00B23383"/>
    <w:rsid w:val="00B23943"/>
    <w:rsid w:val="00B23BDE"/>
    <w:rsid w:val="00B24819"/>
    <w:rsid w:val="00B24903"/>
    <w:rsid w:val="00B24A19"/>
    <w:rsid w:val="00B24A6A"/>
    <w:rsid w:val="00B24B3C"/>
    <w:rsid w:val="00B25159"/>
    <w:rsid w:val="00B25896"/>
    <w:rsid w:val="00B259E1"/>
    <w:rsid w:val="00B25A92"/>
    <w:rsid w:val="00B26044"/>
    <w:rsid w:val="00B260A7"/>
    <w:rsid w:val="00B261B6"/>
    <w:rsid w:val="00B26479"/>
    <w:rsid w:val="00B26581"/>
    <w:rsid w:val="00B2726C"/>
    <w:rsid w:val="00B272F1"/>
    <w:rsid w:val="00B2771D"/>
    <w:rsid w:val="00B2776C"/>
    <w:rsid w:val="00B2779B"/>
    <w:rsid w:val="00B27918"/>
    <w:rsid w:val="00B279DC"/>
    <w:rsid w:val="00B27BD3"/>
    <w:rsid w:val="00B30251"/>
    <w:rsid w:val="00B304B6"/>
    <w:rsid w:val="00B30690"/>
    <w:rsid w:val="00B30801"/>
    <w:rsid w:val="00B30C73"/>
    <w:rsid w:val="00B30CC7"/>
    <w:rsid w:val="00B31209"/>
    <w:rsid w:val="00B312CA"/>
    <w:rsid w:val="00B31814"/>
    <w:rsid w:val="00B3190C"/>
    <w:rsid w:val="00B31B52"/>
    <w:rsid w:val="00B31C96"/>
    <w:rsid w:val="00B31FBD"/>
    <w:rsid w:val="00B32151"/>
    <w:rsid w:val="00B32387"/>
    <w:rsid w:val="00B324CC"/>
    <w:rsid w:val="00B3251C"/>
    <w:rsid w:val="00B32897"/>
    <w:rsid w:val="00B329C1"/>
    <w:rsid w:val="00B33029"/>
    <w:rsid w:val="00B33281"/>
    <w:rsid w:val="00B333C2"/>
    <w:rsid w:val="00B33CB0"/>
    <w:rsid w:val="00B33CD0"/>
    <w:rsid w:val="00B3461F"/>
    <w:rsid w:val="00B346C9"/>
    <w:rsid w:val="00B34972"/>
    <w:rsid w:val="00B34974"/>
    <w:rsid w:val="00B34AF4"/>
    <w:rsid w:val="00B356C1"/>
    <w:rsid w:val="00B35708"/>
    <w:rsid w:val="00B35AEB"/>
    <w:rsid w:val="00B35BAC"/>
    <w:rsid w:val="00B36485"/>
    <w:rsid w:val="00B364B7"/>
    <w:rsid w:val="00B364CF"/>
    <w:rsid w:val="00B36768"/>
    <w:rsid w:val="00B368C8"/>
    <w:rsid w:val="00B36BBE"/>
    <w:rsid w:val="00B36CF8"/>
    <w:rsid w:val="00B36D50"/>
    <w:rsid w:val="00B36ED3"/>
    <w:rsid w:val="00B372B3"/>
    <w:rsid w:val="00B37374"/>
    <w:rsid w:val="00B4001A"/>
    <w:rsid w:val="00B406D7"/>
    <w:rsid w:val="00B4100D"/>
    <w:rsid w:val="00B410FE"/>
    <w:rsid w:val="00B415EC"/>
    <w:rsid w:val="00B41722"/>
    <w:rsid w:val="00B41C1D"/>
    <w:rsid w:val="00B41E11"/>
    <w:rsid w:val="00B4206B"/>
    <w:rsid w:val="00B42401"/>
    <w:rsid w:val="00B42721"/>
    <w:rsid w:val="00B42AC8"/>
    <w:rsid w:val="00B43AE3"/>
    <w:rsid w:val="00B43CA7"/>
    <w:rsid w:val="00B44016"/>
    <w:rsid w:val="00B440F1"/>
    <w:rsid w:val="00B44E9B"/>
    <w:rsid w:val="00B45A39"/>
    <w:rsid w:val="00B46FE5"/>
    <w:rsid w:val="00B474A3"/>
    <w:rsid w:val="00B47711"/>
    <w:rsid w:val="00B47C58"/>
    <w:rsid w:val="00B47FA5"/>
    <w:rsid w:val="00B500A0"/>
    <w:rsid w:val="00B500EA"/>
    <w:rsid w:val="00B5074A"/>
    <w:rsid w:val="00B50AD0"/>
    <w:rsid w:val="00B50ED1"/>
    <w:rsid w:val="00B5132B"/>
    <w:rsid w:val="00B516D8"/>
    <w:rsid w:val="00B51D97"/>
    <w:rsid w:val="00B52045"/>
    <w:rsid w:val="00B5210E"/>
    <w:rsid w:val="00B5217C"/>
    <w:rsid w:val="00B52F65"/>
    <w:rsid w:val="00B530C1"/>
    <w:rsid w:val="00B53996"/>
    <w:rsid w:val="00B53D41"/>
    <w:rsid w:val="00B540D7"/>
    <w:rsid w:val="00B54667"/>
    <w:rsid w:val="00B54964"/>
    <w:rsid w:val="00B5533C"/>
    <w:rsid w:val="00B55946"/>
    <w:rsid w:val="00B55966"/>
    <w:rsid w:val="00B55D40"/>
    <w:rsid w:val="00B56518"/>
    <w:rsid w:val="00B56E37"/>
    <w:rsid w:val="00B57242"/>
    <w:rsid w:val="00B57512"/>
    <w:rsid w:val="00B57710"/>
    <w:rsid w:val="00B57B41"/>
    <w:rsid w:val="00B57B79"/>
    <w:rsid w:val="00B57CBB"/>
    <w:rsid w:val="00B57CD4"/>
    <w:rsid w:val="00B6059D"/>
    <w:rsid w:val="00B605F0"/>
    <w:rsid w:val="00B606EB"/>
    <w:rsid w:val="00B608FB"/>
    <w:rsid w:val="00B60A1C"/>
    <w:rsid w:val="00B60A64"/>
    <w:rsid w:val="00B60E55"/>
    <w:rsid w:val="00B60E5E"/>
    <w:rsid w:val="00B60E86"/>
    <w:rsid w:val="00B60EB6"/>
    <w:rsid w:val="00B6184E"/>
    <w:rsid w:val="00B61F8F"/>
    <w:rsid w:val="00B621D9"/>
    <w:rsid w:val="00B62D19"/>
    <w:rsid w:val="00B63236"/>
    <w:rsid w:val="00B63684"/>
    <w:rsid w:val="00B63D76"/>
    <w:rsid w:val="00B64052"/>
    <w:rsid w:val="00B64148"/>
    <w:rsid w:val="00B64156"/>
    <w:rsid w:val="00B64299"/>
    <w:rsid w:val="00B6433B"/>
    <w:rsid w:val="00B643D5"/>
    <w:rsid w:val="00B64461"/>
    <w:rsid w:val="00B64ED4"/>
    <w:rsid w:val="00B64EDD"/>
    <w:rsid w:val="00B64F03"/>
    <w:rsid w:val="00B659D3"/>
    <w:rsid w:val="00B65AF6"/>
    <w:rsid w:val="00B65BA1"/>
    <w:rsid w:val="00B662C5"/>
    <w:rsid w:val="00B6646C"/>
    <w:rsid w:val="00B66D5A"/>
    <w:rsid w:val="00B6701C"/>
    <w:rsid w:val="00B670E6"/>
    <w:rsid w:val="00B678F0"/>
    <w:rsid w:val="00B67C01"/>
    <w:rsid w:val="00B67D3D"/>
    <w:rsid w:val="00B70150"/>
    <w:rsid w:val="00B7045E"/>
    <w:rsid w:val="00B708E9"/>
    <w:rsid w:val="00B70A93"/>
    <w:rsid w:val="00B70CA1"/>
    <w:rsid w:val="00B7106C"/>
    <w:rsid w:val="00B711EF"/>
    <w:rsid w:val="00B71231"/>
    <w:rsid w:val="00B713E8"/>
    <w:rsid w:val="00B719ED"/>
    <w:rsid w:val="00B71AAA"/>
    <w:rsid w:val="00B7255B"/>
    <w:rsid w:val="00B725EB"/>
    <w:rsid w:val="00B7369D"/>
    <w:rsid w:val="00B73966"/>
    <w:rsid w:val="00B73BCA"/>
    <w:rsid w:val="00B73C4C"/>
    <w:rsid w:val="00B73CDA"/>
    <w:rsid w:val="00B740D0"/>
    <w:rsid w:val="00B744DE"/>
    <w:rsid w:val="00B74C07"/>
    <w:rsid w:val="00B750B4"/>
    <w:rsid w:val="00B7546E"/>
    <w:rsid w:val="00B75908"/>
    <w:rsid w:val="00B75BE7"/>
    <w:rsid w:val="00B75E76"/>
    <w:rsid w:val="00B7627E"/>
    <w:rsid w:val="00B76851"/>
    <w:rsid w:val="00B7690A"/>
    <w:rsid w:val="00B76C3D"/>
    <w:rsid w:val="00B77758"/>
    <w:rsid w:val="00B77DC6"/>
    <w:rsid w:val="00B77DD9"/>
    <w:rsid w:val="00B77E6F"/>
    <w:rsid w:val="00B80940"/>
    <w:rsid w:val="00B80B90"/>
    <w:rsid w:val="00B80D39"/>
    <w:rsid w:val="00B81229"/>
    <w:rsid w:val="00B8122A"/>
    <w:rsid w:val="00B816C0"/>
    <w:rsid w:val="00B81F55"/>
    <w:rsid w:val="00B82606"/>
    <w:rsid w:val="00B82917"/>
    <w:rsid w:val="00B82963"/>
    <w:rsid w:val="00B82CF1"/>
    <w:rsid w:val="00B82E90"/>
    <w:rsid w:val="00B831F6"/>
    <w:rsid w:val="00B833CE"/>
    <w:rsid w:val="00B836E9"/>
    <w:rsid w:val="00B83A42"/>
    <w:rsid w:val="00B83EDF"/>
    <w:rsid w:val="00B840ED"/>
    <w:rsid w:val="00B84ADD"/>
    <w:rsid w:val="00B84D4F"/>
    <w:rsid w:val="00B85216"/>
    <w:rsid w:val="00B854BB"/>
    <w:rsid w:val="00B859FA"/>
    <w:rsid w:val="00B85BA2"/>
    <w:rsid w:val="00B85D42"/>
    <w:rsid w:val="00B8629D"/>
    <w:rsid w:val="00B863DC"/>
    <w:rsid w:val="00B8692E"/>
    <w:rsid w:val="00B86C26"/>
    <w:rsid w:val="00B86FE6"/>
    <w:rsid w:val="00B8702E"/>
    <w:rsid w:val="00B871D1"/>
    <w:rsid w:val="00B87540"/>
    <w:rsid w:val="00B87FFD"/>
    <w:rsid w:val="00B90214"/>
    <w:rsid w:val="00B90309"/>
    <w:rsid w:val="00B90441"/>
    <w:rsid w:val="00B907E4"/>
    <w:rsid w:val="00B90F63"/>
    <w:rsid w:val="00B91524"/>
    <w:rsid w:val="00B91A73"/>
    <w:rsid w:val="00B91FB3"/>
    <w:rsid w:val="00B92A13"/>
    <w:rsid w:val="00B92BF5"/>
    <w:rsid w:val="00B92CE8"/>
    <w:rsid w:val="00B92DA1"/>
    <w:rsid w:val="00B93166"/>
    <w:rsid w:val="00B93C72"/>
    <w:rsid w:val="00B94161"/>
    <w:rsid w:val="00B94A79"/>
    <w:rsid w:val="00B95BDA"/>
    <w:rsid w:val="00B95CC3"/>
    <w:rsid w:val="00B95FCB"/>
    <w:rsid w:val="00B965B4"/>
    <w:rsid w:val="00B96B1D"/>
    <w:rsid w:val="00B96B67"/>
    <w:rsid w:val="00B96BAB"/>
    <w:rsid w:val="00B97029"/>
    <w:rsid w:val="00B9789F"/>
    <w:rsid w:val="00B97920"/>
    <w:rsid w:val="00B97DB4"/>
    <w:rsid w:val="00B97DF0"/>
    <w:rsid w:val="00BA03D0"/>
    <w:rsid w:val="00BA064D"/>
    <w:rsid w:val="00BA06C8"/>
    <w:rsid w:val="00BA0E0A"/>
    <w:rsid w:val="00BA0E79"/>
    <w:rsid w:val="00BA11B5"/>
    <w:rsid w:val="00BA1399"/>
    <w:rsid w:val="00BA1523"/>
    <w:rsid w:val="00BA203B"/>
    <w:rsid w:val="00BA21BB"/>
    <w:rsid w:val="00BA2C8C"/>
    <w:rsid w:val="00BA3293"/>
    <w:rsid w:val="00BA33EE"/>
    <w:rsid w:val="00BA3F96"/>
    <w:rsid w:val="00BA4AA9"/>
    <w:rsid w:val="00BA4C6D"/>
    <w:rsid w:val="00BA5338"/>
    <w:rsid w:val="00BA588E"/>
    <w:rsid w:val="00BA5C0F"/>
    <w:rsid w:val="00BA629B"/>
    <w:rsid w:val="00BA6759"/>
    <w:rsid w:val="00BA67C4"/>
    <w:rsid w:val="00BA6CE1"/>
    <w:rsid w:val="00BA6E27"/>
    <w:rsid w:val="00BA6E87"/>
    <w:rsid w:val="00BA71F1"/>
    <w:rsid w:val="00BA720F"/>
    <w:rsid w:val="00BA788B"/>
    <w:rsid w:val="00BA7938"/>
    <w:rsid w:val="00BB0050"/>
    <w:rsid w:val="00BB0554"/>
    <w:rsid w:val="00BB0707"/>
    <w:rsid w:val="00BB08AA"/>
    <w:rsid w:val="00BB0E09"/>
    <w:rsid w:val="00BB10D3"/>
    <w:rsid w:val="00BB1525"/>
    <w:rsid w:val="00BB19BD"/>
    <w:rsid w:val="00BB1C2A"/>
    <w:rsid w:val="00BB213D"/>
    <w:rsid w:val="00BB27A8"/>
    <w:rsid w:val="00BB2AFA"/>
    <w:rsid w:val="00BB31DC"/>
    <w:rsid w:val="00BB3449"/>
    <w:rsid w:val="00BB361D"/>
    <w:rsid w:val="00BB3D29"/>
    <w:rsid w:val="00BB40B4"/>
    <w:rsid w:val="00BB4237"/>
    <w:rsid w:val="00BB437A"/>
    <w:rsid w:val="00BB446A"/>
    <w:rsid w:val="00BB459B"/>
    <w:rsid w:val="00BB4604"/>
    <w:rsid w:val="00BB46EE"/>
    <w:rsid w:val="00BB4B7A"/>
    <w:rsid w:val="00BB4EAF"/>
    <w:rsid w:val="00BB4F96"/>
    <w:rsid w:val="00BB55FE"/>
    <w:rsid w:val="00BB57C1"/>
    <w:rsid w:val="00BB5E41"/>
    <w:rsid w:val="00BB5E9E"/>
    <w:rsid w:val="00BB6112"/>
    <w:rsid w:val="00BB6784"/>
    <w:rsid w:val="00BB6FCC"/>
    <w:rsid w:val="00BB73A2"/>
    <w:rsid w:val="00BB76AD"/>
    <w:rsid w:val="00BB7A1A"/>
    <w:rsid w:val="00BB7B74"/>
    <w:rsid w:val="00BB7C21"/>
    <w:rsid w:val="00BB7E40"/>
    <w:rsid w:val="00BB7F10"/>
    <w:rsid w:val="00BC0132"/>
    <w:rsid w:val="00BC0416"/>
    <w:rsid w:val="00BC0445"/>
    <w:rsid w:val="00BC0827"/>
    <w:rsid w:val="00BC09D5"/>
    <w:rsid w:val="00BC0AB4"/>
    <w:rsid w:val="00BC11B4"/>
    <w:rsid w:val="00BC1BFE"/>
    <w:rsid w:val="00BC1F46"/>
    <w:rsid w:val="00BC207F"/>
    <w:rsid w:val="00BC225B"/>
    <w:rsid w:val="00BC2DEC"/>
    <w:rsid w:val="00BC2FEA"/>
    <w:rsid w:val="00BC37B6"/>
    <w:rsid w:val="00BC54F4"/>
    <w:rsid w:val="00BC59B0"/>
    <w:rsid w:val="00BC5A0F"/>
    <w:rsid w:val="00BC5A38"/>
    <w:rsid w:val="00BC5B17"/>
    <w:rsid w:val="00BC6071"/>
    <w:rsid w:val="00BC623A"/>
    <w:rsid w:val="00BC65C9"/>
    <w:rsid w:val="00BC6908"/>
    <w:rsid w:val="00BC6BE3"/>
    <w:rsid w:val="00BC6EC2"/>
    <w:rsid w:val="00BC6F96"/>
    <w:rsid w:val="00BC79EE"/>
    <w:rsid w:val="00BC7ECB"/>
    <w:rsid w:val="00BC7F4B"/>
    <w:rsid w:val="00BD0627"/>
    <w:rsid w:val="00BD09A0"/>
    <w:rsid w:val="00BD0B20"/>
    <w:rsid w:val="00BD0D82"/>
    <w:rsid w:val="00BD0DFA"/>
    <w:rsid w:val="00BD1121"/>
    <w:rsid w:val="00BD1597"/>
    <w:rsid w:val="00BD1BCC"/>
    <w:rsid w:val="00BD21BE"/>
    <w:rsid w:val="00BD2253"/>
    <w:rsid w:val="00BD2381"/>
    <w:rsid w:val="00BD2683"/>
    <w:rsid w:val="00BD271A"/>
    <w:rsid w:val="00BD2EF6"/>
    <w:rsid w:val="00BD2F25"/>
    <w:rsid w:val="00BD34CC"/>
    <w:rsid w:val="00BD34DE"/>
    <w:rsid w:val="00BD35EC"/>
    <w:rsid w:val="00BD3666"/>
    <w:rsid w:val="00BD3BEB"/>
    <w:rsid w:val="00BD3CCB"/>
    <w:rsid w:val="00BD3E49"/>
    <w:rsid w:val="00BD4A95"/>
    <w:rsid w:val="00BD52A1"/>
    <w:rsid w:val="00BD52FC"/>
    <w:rsid w:val="00BD5583"/>
    <w:rsid w:val="00BD5886"/>
    <w:rsid w:val="00BD5A68"/>
    <w:rsid w:val="00BD6168"/>
    <w:rsid w:val="00BD6196"/>
    <w:rsid w:val="00BD62F1"/>
    <w:rsid w:val="00BD6C33"/>
    <w:rsid w:val="00BD7628"/>
    <w:rsid w:val="00BD7B82"/>
    <w:rsid w:val="00BE01E2"/>
    <w:rsid w:val="00BE0427"/>
    <w:rsid w:val="00BE04ED"/>
    <w:rsid w:val="00BE053F"/>
    <w:rsid w:val="00BE0653"/>
    <w:rsid w:val="00BE0FE1"/>
    <w:rsid w:val="00BE1054"/>
    <w:rsid w:val="00BE16EA"/>
    <w:rsid w:val="00BE17DA"/>
    <w:rsid w:val="00BE18E2"/>
    <w:rsid w:val="00BE2A05"/>
    <w:rsid w:val="00BE2A1A"/>
    <w:rsid w:val="00BE2E1D"/>
    <w:rsid w:val="00BE2F0D"/>
    <w:rsid w:val="00BE3334"/>
    <w:rsid w:val="00BE367E"/>
    <w:rsid w:val="00BE3A45"/>
    <w:rsid w:val="00BE4267"/>
    <w:rsid w:val="00BE433B"/>
    <w:rsid w:val="00BE43BB"/>
    <w:rsid w:val="00BE48A9"/>
    <w:rsid w:val="00BE4946"/>
    <w:rsid w:val="00BE49FE"/>
    <w:rsid w:val="00BE4D05"/>
    <w:rsid w:val="00BE4D09"/>
    <w:rsid w:val="00BE4D1A"/>
    <w:rsid w:val="00BE4E7A"/>
    <w:rsid w:val="00BE51EB"/>
    <w:rsid w:val="00BE522D"/>
    <w:rsid w:val="00BE53E4"/>
    <w:rsid w:val="00BE54C7"/>
    <w:rsid w:val="00BE54E6"/>
    <w:rsid w:val="00BE55E5"/>
    <w:rsid w:val="00BE5622"/>
    <w:rsid w:val="00BE60D4"/>
    <w:rsid w:val="00BE6112"/>
    <w:rsid w:val="00BE6646"/>
    <w:rsid w:val="00BE6C47"/>
    <w:rsid w:val="00BE6F05"/>
    <w:rsid w:val="00BE7731"/>
    <w:rsid w:val="00BE7A34"/>
    <w:rsid w:val="00BF0598"/>
    <w:rsid w:val="00BF08BA"/>
    <w:rsid w:val="00BF11C9"/>
    <w:rsid w:val="00BF1B7D"/>
    <w:rsid w:val="00BF1CEF"/>
    <w:rsid w:val="00BF2162"/>
    <w:rsid w:val="00BF23C7"/>
    <w:rsid w:val="00BF27A4"/>
    <w:rsid w:val="00BF2B55"/>
    <w:rsid w:val="00BF2BB2"/>
    <w:rsid w:val="00BF2C29"/>
    <w:rsid w:val="00BF34A2"/>
    <w:rsid w:val="00BF3703"/>
    <w:rsid w:val="00BF3AFF"/>
    <w:rsid w:val="00BF3F7A"/>
    <w:rsid w:val="00BF4618"/>
    <w:rsid w:val="00BF4D92"/>
    <w:rsid w:val="00BF4EC9"/>
    <w:rsid w:val="00BF4FB7"/>
    <w:rsid w:val="00BF50FB"/>
    <w:rsid w:val="00BF51F7"/>
    <w:rsid w:val="00BF545C"/>
    <w:rsid w:val="00BF5642"/>
    <w:rsid w:val="00BF58A3"/>
    <w:rsid w:val="00BF5B6F"/>
    <w:rsid w:val="00BF5D31"/>
    <w:rsid w:val="00BF5D74"/>
    <w:rsid w:val="00BF60F1"/>
    <w:rsid w:val="00BF6437"/>
    <w:rsid w:val="00BF64BB"/>
    <w:rsid w:val="00BF67D9"/>
    <w:rsid w:val="00BF69AA"/>
    <w:rsid w:val="00BF6A14"/>
    <w:rsid w:val="00BF6B75"/>
    <w:rsid w:val="00BF71B0"/>
    <w:rsid w:val="00BF766B"/>
    <w:rsid w:val="00BF779C"/>
    <w:rsid w:val="00BF7D5D"/>
    <w:rsid w:val="00BF7E25"/>
    <w:rsid w:val="00BF7F38"/>
    <w:rsid w:val="00C0163B"/>
    <w:rsid w:val="00C01D50"/>
    <w:rsid w:val="00C026DC"/>
    <w:rsid w:val="00C026EC"/>
    <w:rsid w:val="00C02CF2"/>
    <w:rsid w:val="00C02E30"/>
    <w:rsid w:val="00C03026"/>
    <w:rsid w:val="00C0313C"/>
    <w:rsid w:val="00C03305"/>
    <w:rsid w:val="00C03374"/>
    <w:rsid w:val="00C034B2"/>
    <w:rsid w:val="00C047AC"/>
    <w:rsid w:val="00C0506E"/>
    <w:rsid w:val="00C0557B"/>
    <w:rsid w:val="00C05770"/>
    <w:rsid w:val="00C05F9A"/>
    <w:rsid w:val="00C07040"/>
    <w:rsid w:val="00C0729E"/>
    <w:rsid w:val="00C0784B"/>
    <w:rsid w:val="00C07A0D"/>
    <w:rsid w:val="00C07CD7"/>
    <w:rsid w:val="00C10605"/>
    <w:rsid w:val="00C10B5D"/>
    <w:rsid w:val="00C10CA2"/>
    <w:rsid w:val="00C10D6D"/>
    <w:rsid w:val="00C10EC3"/>
    <w:rsid w:val="00C1121E"/>
    <w:rsid w:val="00C1184C"/>
    <w:rsid w:val="00C11E91"/>
    <w:rsid w:val="00C12930"/>
    <w:rsid w:val="00C12B78"/>
    <w:rsid w:val="00C12C88"/>
    <w:rsid w:val="00C12E7A"/>
    <w:rsid w:val="00C13839"/>
    <w:rsid w:val="00C13B1E"/>
    <w:rsid w:val="00C13BAE"/>
    <w:rsid w:val="00C13BC5"/>
    <w:rsid w:val="00C1461C"/>
    <w:rsid w:val="00C14B4F"/>
    <w:rsid w:val="00C1543A"/>
    <w:rsid w:val="00C15449"/>
    <w:rsid w:val="00C1564D"/>
    <w:rsid w:val="00C15752"/>
    <w:rsid w:val="00C1588F"/>
    <w:rsid w:val="00C15E07"/>
    <w:rsid w:val="00C1607C"/>
    <w:rsid w:val="00C1672B"/>
    <w:rsid w:val="00C167D6"/>
    <w:rsid w:val="00C167EC"/>
    <w:rsid w:val="00C169B2"/>
    <w:rsid w:val="00C17994"/>
    <w:rsid w:val="00C17E83"/>
    <w:rsid w:val="00C17FAB"/>
    <w:rsid w:val="00C20068"/>
    <w:rsid w:val="00C20287"/>
    <w:rsid w:val="00C202CD"/>
    <w:rsid w:val="00C2042C"/>
    <w:rsid w:val="00C20552"/>
    <w:rsid w:val="00C20555"/>
    <w:rsid w:val="00C20735"/>
    <w:rsid w:val="00C20883"/>
    <w:rsid w:val="00C20905"/>
    <w:rsid w:val="00C20EEB"/>
    <w:rsid w:val="00C21474"/>
    <w:rsid w:val="00C21EE2"/>
    <w:rsid w:val="00C224D6"/>
    <w:rsid w:val="00C22709"/>
    <w:rsid w:val="00C22893"/>
    <w:rsid w:val="00C22A3F"/>
    <w:rsid w:val="00C22D15"/>
    <w:rsid w:val="00C22F94"/>
    <w:rsid w:val="00C23200"/>
    <w:rsid w:val="00C2333E"/>
    <w:rsid w:val="00C233F0"/>
    <w:rsid w:val="00C235ED"/>
    <w:rsid w:val="00C23ABE"/>
    <w:rsid w:val="00C23D5B"/>
    <w:rsid w:val="00C23D81"/>
    <w:rsid w:val="00C23E42"/>
    <w:rsid w:val="00C24E40"/>
    <w:rsid w:val="00C25548"/>
    <w:rsid w:val="00C25562"/>
    <w:rsid w:val="00C2570A"/>
    <w:rsid w:val="00C2575B"/>
    <w:rsid w:val="00C25EA3"/>
    <w:rsid w:val="00C26281"/>
    <w:rsid w:val="00C27368"/>
    <w:rsid w:val="00C2758E"/>
    <w:rsid w:val="00C2799F"/>
    <w:rsid w:val="00C27B94"/>
    <w:rsid w:val="00C27FA8"/>
    <w:rsid w:val="00C30612"/>
    <w:rsid w:val="00C307B6"/>
    <w:rsid w:val="00C30863"/>
    <w:rsid w:val="00C30AD8"/>
    <w:rsid w:val="00C31633"/>
    <w:rsid w:val="00C318CB"/>
    <w:rsid w:val="00C32236"/>
    <w:rsid w:val="00C32474"/>
    <w:rsid w:val="00C327A0"/>
    <w:rsid w:val="00C32EC1"/>
    <w:rsid w:val="00C33968"/>
    <w:rsid w:val="00C33E70"/>
    <w:rsid w:val="00C33FEC"/>
    <w:rsid w:val="00C341FF"/>
    <w:rsid w:val="00C342FB"/>
    <w:rsid w:val="00C347A4"/>
    <w:rsid w:val="00C348D7"/>
    <w:rsid w:val="00C348E3"/>
    <w:rsid w:val="00C3497F"/>
    <w:rsid w:val="00C34AE1"/>
    <w:rsid w:val="00C350E5"/>
    <w:rsid w:val="00C354B0"/>
    <w:rsid w:val="00C3556E"/>
    <w:rsid w:val="00C35766"/>
    <w:rsid w:val="00C36087"/>
    <w:rsid w:val="00C36FEE"/>
    <w:rsid w:val="00C37396"/>
    <w:rsid w:val="00C3759F"/>
    <w:rsid w:val="00C378BB"/>
    <w:rsid w:val="00C37985"/>
    <w:rsid w:val="00C37B72"/>
    <w:rsid w:val="00C37B89"/>
    <w:rsid w:val="00C37CDD"/>
    <w:rsid w:val="00C403FA"/>
    <w:rsid w:val="00C4090C"/>
    <w:rsid w:val="00C40A38"/>
    <w:rsid w:val="00C40F89"/>
    <w:rsid w:val="00C4158B"/>
    <w:rsid w:val="00C415AE"/>
    <w:rsid w:val="00C418FB"/>
    <w:rsid w:val="00C41AB3"/>
    <w:rsid w:val="00C41F2B"/>
    <w:rsid w:val="00C4259E"/>
    <w:rsid w:val="00C42619"/>
    <w:rsid w:val="00C42FA5"/>
    <w:rsid w:val="00C43422"/>
    <w:rsid w:val="00C449A7"/>
    <w:rsid w:val="00C44A3A"/>
    <w:rsid w:val="00C451E8"/>
    <w:rsid w:val="00C45570"/>
    <w:rsid w:val="00C45B29"/>
    <w:rsid w:val="00C45D9F"/>
    <w:rsid w:val="00C45E46"/>
    <w:rsid w:val="00C45F2F"/>
    <w:rsid w:val="00C4612A"/>
    <w:rsid w:val="00C464D0"/>
    <w:rsid w:val="00C466DA"/>
    <w:rsid w:val="00C46A2C"/>
    <w:rsid w:val="00C46F48"/>
    <w:rsid w:val="00C472FD"/>
    <w:rsid w:val="00C4732F"/>
    <w:rsid w:val="00C473F4"/>
    <w:rsid w:val="00C47406"/>
    <w:rsid w:val="00C47967"/>
    <w:rsid w:val="00C47CAB"/>
    <w:rsid w:val="00C50403"/>
    <w:rsid w:val="00C5043C"/>
    <w:rsid w:val="00C5079A"/>
    <w:rsid w:val="00C50B70"/>
    <w:rsid w:val="00C510B8"/>
    <w:rsid w:val="00C51153"/>
    <w:rsid w:val="00C51272"/>
    <w:rsid w:val="00C5197F"/>
    <w:rsid w:val="00C51BB6"/>
    <w:rsid w:val="00C51DB8"/>
    <w:rsid w:val="00C51E20"/>
    <w:rsid w:val="00C51E66"/>
    <w:rsid w:val="00C52409"/>
    <w:rsid w:val="00C52501"/>
    <w:rsid w:val="00C528E9"/>
    <w:rsid w:val="00C52E5B"/>
    <w:rsid w:val="00C530DC"/>
    <w:rsid w:val="00C53612"/>
    <w:rsid w:val="00C53738"/>
    <w:rsid w:val="00C537E0"/>
    <w:rsid w:val="00C54164"/>
    <w:rsid w:val="00C54BF8"/>
    <w:rsid w:val="00C54C79"/>
    <w:rsid w:val="00C54F3C"/>
    <w:rsid w:val="00C550F2"/>
    <w:rsid w:val="00C55342"/>
    <w:rsid w:val="00C5563B"/>
    <w:rsid w:val="00C55AFF"/>
    <w:rsid w:val="00C55F20"/>
    <w:rsid w:val="00C56233"/>
    <w:rsid w:val="00C56414"/>
    <w:rsid w:val="00C56704"/>
    <w:rsid w:val="00C56D46"/>
    <w:rsid w:val="00C576B9"/>
    <w:rsid w:val="00C576CE"/>
    <w:rsid w:val="00C57FD0"/>
    <w:rsid w:val="00C6034E"/>
    <w:rsid w:val="00C60780"/>
    <w:rsid w:val="00C60787"/>
    <w:rsid w:val="00C60BDC"/>
    <w:rsid w:val="00C6128E"/>
    <w:rsid w:val="00C6134B"/>
    <w:rsid w:val="00C616E1"/>
    <w:rsid w:val="00C61B84"/>
    <w:rsid w:val="00C61BE3"/>
    <w:rsid w:val="00C61E98"/>
    <w:rsid w:val="00C61F4D"/>
    <w:rsid w:val="00C62003"/>
    <w:rsid w:val="00C6201E"/>
    <w:rsid w:val="00C623B6"/>
    <w:rsid w:val="00C62A25"/>
    <w:rsid w:val="00C62B77"/>
    <w:rsid w:val="00C62E06"/>
    <w:rsid w:val="00C63481"/>
    <w:rsid w:val="00C638C4"/>
    <w:rsid w:val="00C63B27"/>
    <w:rsid w:val="00C63C78"/>
    <w:rsid w:val="00C64046"/>
    <w:rsid w:val="00C6426B"/>
    <w:rsid w:val="00C6431E"/>
    <w:rsid w:val="00C645B7"/>
    <w:rsid w:val="00C645ED"/>
    <w:rsid w:val="00C64E07"/>
    <w:rsid w:val="00C6563C"/>
    <w:rsid w:val="00C6644A"/>
    <w:rsid w:val="00C6681F"/>
    <w:rsid w:val="00C6695A"/>
    <w:rsid w:val="00C66ACF"/>
    <w:rsid w:val="00C66FB6"/>
    <w:rsid w:val="00C6740B"/>
    <w:rsid w:val="00C67ED1"/>
    <w:rsid w:val="00C70079"/>
    <w:rsid w:val="00C7032C"/>
    <w:rsid w:val="00C70466"/>
    <w:rsid w:val="00C70CFF"/>
    <w:rsid w:val="00C70E25"/>
    <w:rsid w:val="00C713A0"/>
    <w:rsid w:val="00C717BB"/>
    <w:rsid w:val="00C71957"/>
    <w:rsid w:val="00C719F4"/>
    <w:rsid w:val="00C71DBB"/>
    <w:rsid w:val="00C72580"/>
    <w:rsid w:val="00C7326C"/>
    <w:rsid w:val="00C7357E"/>
    <w:rsid w:val="00C73A7F"/>
    <w:rsid w:val="00C73AD2"/>
    <w:rsid w:val="00C73ED8"/>
    <w:rsid w:val="00C740F1"/>
    <w:rsid w:val="00C74466"/>
    <w:rsid w:val="00C744D3"/>
    <w:rsid w:val="00C747D8"/>
    <w:rsid w:val="00C747E7"/>
    <w:rsid w:val="00C74823"/>
    <w:rsid w:val="00C749B8"/>
    <w:rsid w:val="00C74FAE"/>
    <w:rsid w:val="00C7501F"/>
    <w:rsid w:val="00C7504B"/>
    <w:rsid w:val="00C7573B"/>
    <w:rsid w:val="00C758F2"/>
    <w:rsid w:val="00C759B2"/>
    <w:rsid w:val="00C75AD2"/>
    <w:rsid w:val="00C75C08"/>
    <w:rsid w:val="00C75E9B"/>
    <w:rsid w:val="00C75EFA"/>
    <w:rsid w:val="00C767F5"/>
    <w:rsid w:val="00C76E86"/>
    <w:rsid w:val="00C77025"/>
    <w:rsid w:val="00C77937"/>
    <w:rsid w:val="00C77976"/>
    <w:rsid w:val="00C7799E"/>
    <w:rsid w:val="00C77B09"/>
    <w:rsid w:val="00C77B64"/>
    <w:rsid w:val="00C77BAB"/>
    <w:rsid w:val="00C77E27"/>
    <w:rsid w:val="00C8025C"/>
    <w:rsid w:val="00C8052A"/>
    <w:rsid w:val="00C80839"/>
    <w:rsid w:val="00C80C82"/>
    <w:rsid w:val="00C80F4B"/>
    <w:rsid w:val="00C812EC"/>
    <w:rsid w:val="00C8141E"/>
    <w:rsid w:val="00C81434"/>
    <w:rsid w:val="00C81836"/>
    <w:rsid w:val="00C81CBE"/>
    <w:rsid w:val="00C8254C"/>
    <w:rsid w:val="00C82838"/>
    <w:rsid w:val="00C82BF1"/>
    <w:rsid w:val="00C82C3F"/>
    <w:rsid w:val="00C82E34"/>
    <w:rsid w:val="00C83318"/>
    <w:rsid w:val="00C83388"/>
    <w:rsid w:val="00C83516"/>
    <w:rsid w:val="00C838F0"/>
    <w:rsid w:val="00C83C9C"/>
    <w:rsid w:val="00C83D8A"/>
    <w:rsid w:val="00C843EC"/>
    <w:rsid w:val="00C846A8"/>
    <w:rsid w:val="00C84B81"/>
    <w:rsid w:val="00C84C97"/>
    <w:rsid w:val="00C8577D"/>
    <w:rsid w:val="00C85FBC"/>
    <w:rsid w:val="00C86063"/>
    <w:rsid w:val="00C8612E"/>
    <w:rsid w:val="00C86177"/>
    <w:rsid w:val="00C86E12"/>
    <w:rsid w:val="00C872EC"/>
    <w:rsid w:val="00C873AF"/>
    <w:rsid w:val="00C87C4D"/>
    <w:rsid w:val="00C87DD5"/>
    <w:rsid w:val="00C87EAB"/>
    <w:rsid w:val="00C900E1"/>
    <w:rsid w:val="00C9051C"/>
    <w:rsid w:val="00C90BBF"/>
    <w:rsid w:val="00C92012"/>
    <w:rsid w:val="00C92140"/>
    <w:rsid w:val="00C926AB"/>
    <w:rsid w:val="00C92830"/>
    <w:rsid w:val="00C92CEE"/>
    <w:rsid w:val="00C92F88"/>
    <w:rsid w:val="00C93299"/>
    <w:rsid w:val="00C93364"/>
    <w:rsid w:val="00C933D4"/>
    <w:rsid w:val="00C93631"/>
    <w:rsid w:val="00C93D19"/>
    <w:rsid w:val="00C93D39"/>
    <w:rsid w:val="00C93F98"/>
    <w:rsid w:val="00C93FE7"/>
    <w:rsid w:val="00C94236"/>
    <w:rsid w:val="00C944BB"/>
    <w:rsid w:val="00C946D3"/>
    <w:rsid w:val="00C949CB"/>
    <w:rsid w:val="00C94CDC"/>
    <w:rsid w:val="00C94D20"/>
    <w:rsid w:val="00C94D46"/>
    <w:rsid w:val="00C94EBE"/>
    <w:rsid w:val="00C953E6"/>
    <w:rsid w:val="00C9582C"/>
    <w:rsid w:val="00C96262"/>
    <w:rsid w:val="00C963DC"/>
    <w:rsid w:val="00C96425"/>
    <w:rsid w:val="00C964E6"/>
    <w:rsid w:val="00C96538"/>
    <w:rsid w:val="00C96581"/>
    <w:rsid w:val="00C965DB"/>
    <w:rsid w:val="00C9687A"/>
    <w:rsid w:val="00C97519"/>
    <w:rsid w:val="00C979CB"/>
    <w:rsid w:val="00C97A93"/>
    <w:rsid w:val="00C97E15"/>
    <w:rsid w:val="00CA0132"/>
    <w:rsid w:val="00CA0185"/>
    <w:rsid w:val="00CA0D57"/>
    <w:rsid w:val="00CA1586"/>
    <w:rsid w:val="00CA16BF"/>
    <w:rsid w:val="00CA19D8"/>
    <w:rsid w:val="00CA1D2C"/>
    <w:rsid w:val="00CA200A"/>
    <w:rsid w:val="00CA20D4"/>
    <w:rsid w:val="00CA2591"/>
    <w:rsid w:val="00CA2A82"/>
    <w:rsid w:val="00CA2E2C"/>
    <w:rsid w:val="00CA32DB"/>
    <w:rsid w:val="00CA3976"/>
    <w:rsid w:val="00CA3A44"/>
    <w:rsid w:val="00CA3B97"/>
    <w:rsid w:val="00CA4454"/>
    <w:rsid w:val="00CA493F"/>
    <w:rsid w:val="00CA4BB5"/>
    <w:rsid w:val="00CA53D1"/>
    <w:rsid w:val="00CA5767"/>
    <w:rsid w:val="00CA5CB5"/>
    <w:rsid w:val="00CA6173"/>
    <w:rsid w:val="00CA630B"/>
    <w:rsid w:val="00CA6D0D"/>
    <w:rsid w:val="00CA6D6F"/>
    <w:rsid w:val="00CB0219"/>
    <w:rsid w:val="00CB0539"/>
    <w:rsid w:val="00CB0601"/>
    <w:rsid w:val="00CB087E"/>
    <w:rsid w:val="00CB09D1"/>
    <w:rsid w:val="00CB0B4F"/>
    <w:rsid w:val="00CB0FBC"/>
    <w:rsid w:val="00CB1285"/>
    <w:rsid w:val="00CB1347"/>
    <w:rsid w:val="00CB1779"/>
    <w:rsid w:val="00CB1D18"/>
    <w:rsid w:val="00CB208D"/>
    <w:rsid w:val="00CB228A"/>
    <w:rsid w:val="00CB25D3"/>
    <w:rsid w:val="00CB2686"/>
    <w:rsid w:val="00CB2AA3"/>
    <w:rsid w:val="00CB302D"/>
    <w:rsid w:val="00CB3185"/>
    <w:rsid w:val="00CB3332"/>
    <w:rsid w:val="00CB3798"/>
    <w:rsid w:val="00CB3DAA"/>
    <w:rsid w:val="00CB4773"/>
    <w:rsid w:val="00CB4847"/>
    <w:rsid w:val="00CB5065"/>
    <w:rsid w:val="00CB5158"/>
    <w:rsid w:val="00CB5585"/>
    <w:rsid w:val="00CB5BCB"/>
    <w:rsid w:val="00CB5CAB"/>
    <w:rsid w:val="00CB5E14"/>
    <w:rsid w:val="00CB60B6"/>
    <w:rsid w:val="00CB6ACF"/>
    <w:rsid w:val="00CB6C23"/>
    <w:rsid w:val="00CB6D78"/>
    <w:rsid w:val="00CB7174"/>
    <w:rsid w:val="00CB731A"/>
    <w:rsid w:val="00CB7334"/>
    <w:rsid w:val="00CB78E4"/>
    <w:rsid w:val="00CC02EC"/>
    <w:rsid w:val="00CC038D"/>
    <w:rsid w:val="00CC039A"/>
    <w:rsid w:val="00CC054B"/>
    <w:rsid w:val="00CC0725"/>
    <w:rsid w:val="00CC0D99"/>
    <w:rsid w:val="00CC0E07"/>
    <w:rsid w:val="00CC0F1E"/>
    <w:rsid w:val="00CC0FEF"/>
    <w:rsid w:val="00CC12E9"/>
    <w:rsid w:val="00CC17B1"/>
    <w:rsid w:val="00CC1EB4"/>
    <w:rsid w:val="00CC2100"/>
    <w:rsid w:val="00CC262A"/>
    <w:rsid w:val="00CC2B66"/>
    <w:rsid w:val="00CC2C95"/>
    <w:rsid w:val="00CC2CB8"/>
    <w:rsid w:val="00CC2E26"/>
    <w:rsid w:val="00CC2EC1"/>
    <w:rsid w:val="00CC336E"/>
    <w:rsid w:val="00CC33DD"/>
    <w:rsid w:val="00CC36EB"/>
    <w:rsid w:val="00CC4595"/>
    <w:rsid w:val="00CC5378"/>
    <w:rsid w:val="00CC5A65"/>
    <w:rsid w:val="00CC5BD9"/>
    <w:rsid w:val="00CC5CFC"/>
    <w:rsid w:val="00CC60AC"/>
    <w:rsid w:val="00CC65ED"/>
    <w:rsid w:val="00CC67D3"/>
    <w:rsid w:val="00CC6C5E"/>
    <w:rsid w:val="00CC7297"/>
    <w:rsid w:val="00CC7601"/>
    <w:rsid w:val="00CC79AA"/>
    <w:rsid w:val="00CC7DD5"/>
    <w:rsid w:val="00CC7E7E"/>
    <w:rsid w:val="00CC7EE6"/>
    <w:rsid w:val="00CD0061"/>
    <w:rsid w:val="00CD0151"/>
    <w:rsid w:val="00CD1203"/>
    <w:rsid w:val="00CD184B"/>
    <w:rsid w:val="00CD1A87"/>
    <w:rsid w:val="00CD1B4D"/>
    <w:rsid w:val="00CD1E8F"/>
    <w:rsid w:val="00CD21A7"/>
    <w:rsid w:val="00CD2FFE"/>
    <w:rsid w:val="00CD30A3"/>
    <w:rsid w:val="00CD32D2"/>
    <w:rsid w:val="00CD3AF9"/>
    <w:rsid w:val="00CD3DF0"/>
    <w:rsid w:val="00CD41C9"/>
    <w:rsid w:val="00CD49AC"/>
    <w:rsid w:val="00CD4BE8"/>
    <w:rsid w:val="00CD4C99"/>
    <w:rsid w:val="00CD4D19"/>
    <w:rsid w:val="00CD540F"/>
    <w:rsid w:val="00CD5B2D"/>
    <w:rsid w:val="00CD60CE"/>
    <w:rsid w:val="00CD76ED"/>
    <w:rsid w:val="00CD789B"/>
    <w:rsid w:val="00CD7F96"/>
    <w:rsid w:val="00CE0123"/>
    <w:rsid w:val="00CE0ABF"/>
    <w:rsid w:val="00CE0CF7"/>
    <w:rsid w:val="00CE0E62"/>
    <w:rsid w:val="00CE0F33"/>
    <w:rsid w:val="00CE1B35"/>
    <w:rsid w:val="00CE23FD"/>
    <w:rsid w:val="00CE2A3B"/>
    <w:rsid w:val="00CE3295"/>
    <w:rsid w:val="00CE329E"/>
    <w:rsid w:val="00CE33EC"/>
    <w:rsid w:val="00CE3742"/>
    <w:rsid w:val="00CE3836"/>
    <w:rsid w:val="00CE452E"/>
    <w:rsid w:val="00CE471C"/>
    <w:rsid w:val="00CE47EF"/>
    <w:rsid w:val="00CE4A1D"/>
    <w:rsid w:val="00CE526C"/>
    <w:rsid w:val="00CE52EC"/>
    <w:rsid w:val="00CE5515"/>
    <w:rsid w:val="00CE5598"/>
    <w:rsid w:val="00CE5BF4"/>
    <w:rsid w:val="00CE5E12"/>
    <w:rsid w:val="00CE6731"/>
    <w:rsid w:val="00CE68F8"/>
    <w:rsid w:val="00CE745E"/>
    <w:rsid w:val="00CE7522"/>
    <w:rsid w:val="00CE7906"/>
    <w:rsid w:val="00CE7D15"/>
    <w:rsid w:val="00CF02CF"/>
    <w:rsid w:val="00CF0DEB"/>
    <w:rsid w:val="00CF19C4"/>
    <w:rsid w:val="00CF1F34"/>
    <w:rsid w:val="00CF2054"/>
    <w:rsid w:val="00CF20D5"/>
    <w:rsid w:val="00CF230F"/>
    <w:rsid w:val="00CF2654"/>
    <w:rsid w:val="00CF2C74"/>
    <w:rsid w:val="00CF2DC1"/>
    <w:rsid w:val="00CF2E84"/>
    <w:rsid w:val="00CF2EA5"/>
    <w:rsid w:val="00CF3461"/>
    <w:rsid w:val="00CF36BF"/>
    <w:rsid w:val="00CF4894"/>
    <w:rsid w:val="00CF4AA8"/>
    <w:rsid w:val="00CF4D21"/>
    <w:rsid w:val="00CF5582"/>
    <w:rsid w:val="00CF558F"/>
    <w:rsid w:val="00CF58D7"/>
    <w:rsid w:val="00CF5AB5"/>
    <w:rsid w:val="00CF63DC"/>
    <w:rsid w:val="00CF6502"/>
    <w:rsid w:val="00CF74B9"/>
    <w:rsid w:val="00CF75F5"/>
    <w:rsid w:val="00CF78F1"/>
    <w:rsid w:val="00CF7A1D"/>
    <w:rsid w:val="00CF7CF8"/>
    <w:rsid w:val="00CF7D47"/>
    <w:rsid w:val="00D003D9"/>
    <w:rsid w:val="00D007FA"/>
    <w:rsid w:val="00D00829"/>
    <w:rsid w:val="00D00CA4"/>
    <w:rsid w:val="00D00F4A"/>
    <w:rsid w:val="00D0129B"/>
    <w:rsid w:val="00D0162F"/>
    <w:rsid w:val="00D02EE3"/>
    <w:rsid w:val="00D03479"/>
    <w:rsid w:val="00D035B6"/>
    <w:rsid w:val="00D03780"/>
    <w:rsid w:val="00D03A82"/>
    <w:rsid w:val="00D03AE0"/>
    <w:rsid w:val="00D03B4A"/>
    <w:rsid w:val="00D03C29"/>
    <w:rsid w:val="00D043F2"/>
    <w:rsid w:val="00D049F9"/>
    <w:rsid w:val="00D052A4"/>
    <w:rsid w:val="00D054C2"/>
    <w:rsid w:val="00D0562F"/>
    <w:rsid w:val="00D05732"/>
    <w:rsid w:val="00D057AD"/>
    <w:rsid w:val="00D05FE0"/>
    <w:rsid w:val="00D0622B"/>
    <w:rsid w:val="00D063FD"/>
    <w:rsid w:val="00D0769B"/>
    <w:rsid w:val="00D07758"/>
    <w:rsid w:val="00D07898"/>
    <w:rsid w:val="00D07AE7"/>
    <w:rsid w:val="00D07F34"/>
    <w:rsid w:val="00D1019B"/>
    <w:rsid w:val="00D10375"/>
    <w:rsid w:val="00D10438"/>
    <w:rsid w:val="00D10738"/>
    <w:rsid w:val="00D107A9"/>
    <w:rsid w:val="00D10E08"/>
    <w:rsid w:val="00D10E0F"/>
    <w:rsid w:val="00D112F8"/>
    <w:rsid w:val="00D11B46"/>
    <w:rsid w:val="00D12150"/>
    <w:rsid w:val="00D122F6"/>
    <w:rsid w:val="00D12327"/>
    <w:rsid w:val="00D123EA"/>
    <w:rsid w:val="00D126D8"/>
    <w:rsid w:val="00D12733"/>
    <w:rsid w:val="00D12A25"/>
    <w:rsid w:val="00D12A28"/>
    <w:rsid w:val="00D12D85"/>
    <w:rsid w:val="00D13CF4"/>
    <w:rsid w:val="00D13D1A"/>
    <w:rsid w:val="00D14189"/>
    <w:rsid w:val="00D1453C"/>
    <w:rsid w:val="00D145EB"/>
    <w:rsid w:val="00D14DFF"/>
    <w:rsid w:val="00D14E45"/>
    <w:rsid w:val="00D1597C"/>
    <w:rsid w:val="00D166F0"/>
    <w:rsid w:val="00D1680A"/>
    <w:rsid w:val="00D1696F"/>
    <w:rsid w:val="00D16B88"/>
    <w:rsid w:val="00D171F2"/>
    <w:rsid w:val="00D177CD"/>
    <w:rsid w:val="00D17B73"/>
    <w:rsid w:val="00D20014"/>
    <w:rsid w:val="00D20380"/>
    <w:rsid w:val="00D205B6"/>
    <w:rsid w:val="00D20833"/>
    <w:rsid w:val="00D2097C"/>
    <w:rsid w:val="00D20AA7"/>
    <w:rsid w:val="00D20C63"/>
    <w:rsid w:val="00D21080"/>
    <w:rsid w:val="00D21363"/>
    <w:rsid w:val="00D21E5D"/>
    <w:rsid w:val="00D220FE"/>
    <w:rsid w:val="00D22CB4"/>
    <w:rsid w:val="00D22E3C"/>
    <w:rsid w:val="00D22F6F"/>
    <w:rsid w:val="00D2306F"/>
    <w:rsid w:val="00D233D9"/>
    <w:rsid w:val="00D23DF7"/>
    <w:rsid w:val="00D23F9C"/>
    <w:rsid w:val="00D2531D"/>
    <w:rsid w:val="00D25366"/>
    <w:rsid w:val="00D253CC"/>
    <w:rsid w:val="00D25493"/>
    <w:rsid w:val="00D2563A"/>
    <w:rsid w:val="00D25B57"/>
    <w:rsid w:val="00D2668E"/>
    <w:rsid w:val="00D267A1"/>
    <w:rsid w:val="00D267A2"/>
    <w:rsid w:val="00D26C78"/>
    <w:rsid w:val="00D271EE"/>
    <w:rsid w:val="00D27264"/>
    <w:rsid w:val="00D27954"/>
    <w:rsid w:val="00D27ED5"/>
    <w:rsid w:val="00D30854"/>
    <w:rsid w:val="00D30971"/>
    <w:rsid w:val="00D309BC"/>
    <w:rsid w:val="00D30C5C"/>
    <w:rsid w:val="00D30D90"/>
    <w:rsid w:val="00D30E30"/>
    <w:rsid w:val="00D314E2"/>
    <w:rsid w:val="00D314E6"/>
    <w:rsid w:val="00D31833"/>
    <w:rsid w:val="00D3209E"/>
    <w:rsid w:val="00D325EC"/>
    <w:rsid w:val="00D32C97"/>
    <w:rsid w:val="00D33229"/>
    <w:rsid w:val="00D33B0C"/>
    <w:rsid w:val="00D33CEB"/>
    <w:rsid w:val="00D34099"/>
    <w:rsid w:val="00D347BC"/>
    <w:rsid w:val="00D3490F"/>
    <w:rsid w:val="00D34CD1"/>
    <w:rsid w:val="00D3563B"/>
    <w:rsid w:val="00D35703"/>
    <w:rsid w:val="00D35E20"/>
    <w:rsid w:val="00D367BB"/>
    <w:rsid w:val="00D36A03"/>
    <w:rsid w:val="00D36AAF"/>
    <w:rsid w:val="00D36B8A"/>
    <w:rsid w:val="00D36CD8"/>
    <w:rsid w:val="00D36E45"/>
    <w:rsid w:val="00D3766B"/>
    <w:rsid w:val="00D37A3E"/>
    <w:rsid w:val="00D37F96"/>
    <w:rsid w:val="00D4025D"/>
    <w:rsid w:val="00D402F1"/>
    <w:rsid w:val="00D40B62"/>
    <w:rsid w:val="00D40B7A"/>
    <w:rsid w:val="00D40C13"/>
    <w:rsid w:val="00D4138C"/>
    <w:rsid w:val="00D4195A"/>
    <w:rsid w:val="00D41BF1"/>
    <w:rsid w:val="00D41C65"/>
    <w:rsid w:val="00D42636"/>
    <w:rsid w:val="00D426C1"/>
    <w:rsid w:val="00D4327B"/>
    <w:rsid w:val="00D43A65"/>
    <w:rsid w:val="00D43A7D"/>
    <w:rsid w:val="00D43A80"/>
    <w:rsid w:val="00D43DC7"/>
    <w:rsid w:val="00D43EA8"/>
    <w:rsid w:val="00D43F64"/>
    <w:rsid w:val="00D44336"/>
    <w:rsid w:val="00D44F3F"/>
    <w:rsid w:val="00D45712"/>
    <w:rsid w:val="00D45854"/>
    <w:rsid w:val="00D45CA1"/>
    <w:rsid w:val="00D45CD8"/>
    <w:rsid w:val="00D46439"/>
    <w:rsid w:val="00D464B2"/>
    <w:rsid w:val="00D4673D"/>
    <w:rsid w:val="00D46B20"/>
    <w:rsid w:val="00D46EFB"/>
    <w:rsid w:val="00D47291"/>
    <w:rsid w:val="00D47572"/>
    <w:rsid w:val="00D47770"/>
    <w:rsid w:val="00D500F9"/>
    <w:rsid w:val="00D503C4"/>
    <w:rsid w:val="00D503C8"/>
    <w:rsid w:val="00D50496"/>
    <w:rsid w:val="00D506CC"/>
    <w:rsid w:val="00D508CA"/>
    <w:rsid w:val="00D514AB"/>
    <w:rsid w:val="00D5162B"/>
    <w:rsid w:val="00D51CEF"/>
    <w:rsid w:val="00D51D2F"/>
    <w:rsid w:val="00D51DBE"/>
    <w:rsid w:val="00D5210B"/>
    <w:rsid w:val="00D52629"/>
    <w:rsid w:val="00D528DC"/>
    <w:rsid w:val="00D528FA"/>
    <w:rsid w:val="00D52BA4"/>
    <w:rsid w:val="00D52D11"/>
    <w:rsid w:val="00D52FB6"/>
    <w:rsid w:val="00D53A32"/>
    <w:rsid w:val="00D53F5B"/>
    <w:rsid w:val="00D5451C"/>
    <w:rsid w:val="00D54AC6"/>
    <w:rsid w:val="00D54CA1"/>
    <w:rsid w:val="00D55024"/>
    <w:rsid w:val="00D55379"/>
    <w:rsid w:val="00D55B15"/>
    <w:rsid w:val="00D55B8E"/>
    <w:rsid w:val="00D55CD8"/>
    <w:rsid w:val="00D55DEE"/>
    <w:rsid w:val="00D561AF"/>
    <w:rsid w:val="00D56236"/>
    <w:rsid w:val="00D56276"/>
    <w:rsid w:val="00D56FBD"/>
    <w:rsid w:val="00D572B7"/>
    <w:rsid w:val="00D57654"/>
    <w:rsid w:val="00D577C2"/>
    <w:rsid w:val="00D578EA"/>
    <w:rsid w:val="00D57B7E"/>
    <w:rsid w:val="00D57E50"/>
    <w:rsid w:val="00D60180"/>
    <w:rsid w:val="00D60692"/>
    <w:rsid w:val="00D606FE"/>
    <w:rsid w:val="00D60EDD"/>
    <w:rsid w:val="00D610F7"/>
    <w:rsid w:val="00D61339"/>
    <w:rsid w:val="00D61618"/>
    <w:rsid w:val="00D61B5E"/>
    <w:rsid w:val="00D61C21"/>
    <w:rsid w:val="00D62496"/>
    <w:rsid w:val="00D625CC"/>
    <w:rsid w:val="00D62CFB"/>
    <w:rsid w:val="00D63254"/>
    <w:rsid w:val="00D63406"/>
    <w:rsid w:val="00D63524"/>
    <w:rsid w:val="00D6437D"/>
    <w:rsid w:val="00D655EF"/>
    <w:rsid w:val="00D65D09"/>
    <w:rsid w:val="00D65EA3"/>
    <w:rsid w:val="00D660A5"/>
    <w:rsid w:val="00D66966"/>
    <w:rsid w:val="00D66B0C"/>
    <w:rsid w:val="00D66F02"/>
    <w:rsid w:val="00D675E5"/>
    <w:rsid w:val="00D67719"/>
    <w:rsid w:val="00D67985"/>
    <w:rsid w:val="00D67C6C"/>
    <w:rsid w:val="00D67FB8"/>
    <w:rsid w:val="00D706DD"/>
    <w:rsid w:val="00D709B9"/>
    <w:rsid w:val="00D70BE5"/>
    <w:rsid w:val="00D710EE"/>
    <w:rsid w:val="00D711BC"/>
    <w:rsid w:val="00D713D1"/>
    <w:rsid w:val="00D719A8"/>
    <w:rsid w:val="00D71CB3"/>
    <w:rsid w:val="00D72013"/>
    <w:rsid w:val="00D721C8"/>
    <w:rsid w:val="00D721D9"/>
    <w:rsid w:val="00D727C9"/>
    <w:rsid w:val="00D7291B"/>
    <w:rsid w:val="00D72A2C"/>
    <w:rsid w:val="00D732B8"/>
    <w:rsid w:val="00D7365A"/>
    <w:rsid w:val="00D736C9"/>
    <w:rsid w:val="00D738AB"/>
    <w:rsid w:val="00D7395B"/>
    <w:rsid w:val="00D741E0"/>
    <w:rsid w:val="00D74223"/>
    <w:rsid w:val="00D74BE2"/>
    <w:rsid w:val="00D74C08"/>
    <w:rsid w:val="00D7530A"/>
    <w:rsid w:val="00D75665"/>
    <w:rsid w:val="00D7592D"/>
    <w:rsid w:val="00D75A52"/>
    <w:rsid w:val="00D75A73"/>
    <w:rsid w:val="00D75B7D"/>
    <w:rsid w:val="00D75E64"/>
    <w:rsid w:val="00D761AD"/>
    <w:rsid w:val="00D76236"/>
    <w:rsid w:val="00D76277"/>
    <w:rsid w:val="00D764AC"/>
    <w:rsid w:val="00D76EA0"/>
    <w:rsid w:val="00D76EDB"/>
    <w:rsid w:val="00D77288"/>
    <w:rsid w:val="00D77792"/>
    <w:rsid w:val="00D77855"/>
    <w:rsid w:val="00D7790B"/>
    <w:rsid w:val="00D80CCE"/>
    <w:rsid w:val="00D80DDF"/>
    <w:rsid w:val="00D80DFD"/>
    <w:rsid w:val="00D80F4C"/>
    <w:rsid w:val="00D81384"/>
    <w:rsid w:val="00D813D8"/>
    <w:rsid w:val="00D81583"/>
    <w:rsid w:val="00D81D22"/>
    <w:rsid w:val="00D820FD"/>
    <w:rsid w:val="00D82160"/>
    <w:rsid w:val="00D82393"/>
    <w:rsid w:val="00D829BF"/>
    <w:rsid w:val="00D82AC5"/>
    <w:rsid w:val="00D82D91"/>
    <w:rsid w:val="00D82E30"/>
    <w:rsid w:val="00D82EBC"/>
    <w:rsid w:val="00D83269"/>
    <w:rsid w:val="00D83877"/>
    <w:rsid w:val="00D83D9D"/>
    <w:rsid w:val="00D84350"/>
    <w:rsid w:val="00D85036"/>
    <w:rsid w:val="00D853A5"/>
    <w:rsid w:val="00D8544E"/>
    <w:rsid w:val="00D8560F"/>
    <w:rsid w:val="00D859DA"/>
    <w:rsid w:val="00D85A5E"/>
    <w:rsid w:val="00D85EDB"/>
    <w:rsid w:val="00D86077"/>
    <w:rsid w:val="00D862C8"/>
    <w:rsid w:val="00D8643C"/>
    <w:rsid w:val="00D86E0E"/>
    <w:rsid w:val="00D87258"/>
    <w:rsid w:val="00D874D4"/>
    <w:rsid w:val="00D876C4"/>
    <w:rsid w:val="00D903A7"/>
    <w:rsid w:val="00D90410"/>
    <w:rsid w:val="00D905F2"/>
    <w:rsid w:val="00D90D42"/>
    <w:rsid w:val="00D9131C"/>
    <w:rsid w:val="00D91455"/>
    <w:rsid w:val="00D91681"/>
    <w:rsid w:val="00D9178E"/>
    <w:rsid w:val="00D919C8"/>
    <w:rsid w:val="00D91DAD"/>
    <w:rsid w:val="00D920C9"/>
    <w:rsid w:val="00D9243E"/>
    <w:rsid w:val="00D924B7"/>
    <w:rsid w:val="00D92548"/>
    <w:rsid w:val="00D92B05"/>
    <w:rsid w:val="00D92BC6"/>
    <w:rsid w:val="00D92CA9"/>
    <w:rsid w:val="00D92E5E"/>
    <w:rsid w:val="00D931DF"/>
    <w:rsid w:val="00D9326A"/>
    <w:rsid w:val="00D933FB"/>
    <w:rsid w:val="00D935F0"/>
    <w:rsid w:val="00D9379C"/>
    <w:rsid w:val="00D938C1"/>
    <w:rsid w:val="00D93A10"/>
    <w:rsid w:val="00D93A9F"/>
    <w:rsid w:val="00D9460D"/>
    <w:rsid w:val="00D94685"/>
    <w:rsid w:val="00D9474E"/>
    <w:rsid w:val="00D94A05"/>
    <w:rsid w:val="00D94CD9"/>
    <w:rsid w:val="00D9511D"/>
    <w:rsid w:val="00D9534B"/>
    <w:rsid w:val="00D955DC"/>
    <w:rsid w:val="00D95E71"/>
    <w:rsid w:val="00D9602B"/>
    <w:rsid w:val="00D964F9"/>
    <w:rsid w:val="00D968BD"/>
    <w:rsid w:val="00D96C9A"/>
    <w:rsid w:val="00D970B7"/>
    <w:rsid w:val="00D972A4"/>
    <w:rsid w:val="00D9750F"/>
    <w:rsid w:val="00D976C2"/>
    <w:rsid w:val="00D97A45"/>
    <w:rsid w:val="00D97ACD"/>
    <w:rsid w:val="00D97E3D"/>
    <w:rsid w:val="00DA0618"/>
    <w:rsid w:val="00DA06F0"/>
    <w:rsid w:val="00DA0A2E"/>
    <w:rsid w:val="00DA0B31"/>
    <w:rsid w:val="00DA0DA2"/>
    <w:rsid w:val="00DA151F"/>
    <w:rsid w:val="00DA179C"/>
    <w:rsid w:val="00DA19F3"/>
    <w:rsid w:val="00DA1A5A"/>
    <w:rsid w:val="00DA1DDD"/>
    <w:rsid w:val="00DA1E6B"/>
    <w:rsid w:val="00DA22E9"/>
    <w:rsid w:val="00DA28E3"/>
    <w:rsid w:val="00DA2EC5"/>
    <w:rsid w:val="00DA2F64"/>
    <w:rsid w:val="00DA3F57"/>
    <w:rsid w:val="00DA4547"/>
    <w:rsid w:val="00DA48FD"/>
    <w:rsid w:val="00DA4953"/>
    <w:rsid w:val="00DA558C"/>
    <w:rsid w:val="00DA55CF"/>
    <w:rsid w:val="00DA5B74"/>
    <w:rsid w:val="00DA5BD3"/>
    <w:rsid w:val="00DA5BE8"/>
    <w:rsid w:val="00DA5CDC"/>
    <w:rsid w:val="00DA5E18"/>
    <w:rsid w:val="00DA629B"/>
    <w:rsid w:val="00DA6A03"/>
    <w:rsid w:val="00DA6DEE"/>
    <w:rsid w:val="00DA702B"/>
    <w:rsid w:val="00DA75D3"/>
    <w:rsid w:val="00DA7B28"/>
    <w:rsid w:val="00DA7FD4"/>
    <w:rsid w:val="00DB00D4"/>
    <w:rsid w:val="00DB01CB"/>
    <w:rsid w:val="00DB02CD"/>
    <w:rsid w:val="00DB0701"/>
    <w:rsid w:val="00DB0831"/>
    <w:rsid w:val="00DB0886"/>
    <w:rsid w:val="00DB0898"/>
    <w:rsid w:val="00DB0947"/>
    <w:rsid w:val="00DB0EE8"/>
    <w:rsid w:val="00DB0F76"/>
    <w:rsid w:val="00DB0FB4"/>
    <w:rsid w:val="00DB19FF"/>
    <w:rsid w:val="00DB1D0A"/>
    <w:rsid w:val="00DB224F"/>
    <w:rsid w:val="00DB247E"/>
    <w:rsid w:val="00DB249E"/>
    <w:rsid w:val="00DB2574"/>
    <w:rsid w:val="00DB2A4B"/>
    <w:rsid w:val="00DB2C41"/>
    <w:rsid w:val="00DB391F"/>
    <w:rsid w:val="00DB3A0A"/>
    <w:rsid w:val="00DB4625"/>
    <w:rsid w:val="00DB49CD"/>
    <w:rsid w:val="00DB4C3F"/>
    <w:rsid w:val="00DB4C5E"/>
    <w:rsid w:val="00DB5C3E"/>
    <w:rsid w:val="00DB5CF6"/>
    <w:rsid w:val="00DB5E60"/>
    <w:rsid w:val="00DB6297"/>
    <w:rsid w:val="00DB68E3"/>
    <w:rsid w:val="00DB6ADC"/>
    <w:rsid w:val="00DB6E6C"/>
    <w:rsid w:val="00DB6FBB"/>
    <w:rsid w:val="00DB784C"/>
    <w:rsid w:val="00DB7A4C"/>
    <w:rsid w:val="00DB7AE4"/>
    <w:rsid w:val="00DB7D32"/>
    <w:rsid w:val="00DB7EF7"/>
    <w:rsid w:val="00DC072C"/>
    <w:rsid w:val="00DC090E"/>
    <w:rsid w:val="00DC0AA6"/>
    <w:rsid w:val="00DC0AF4"/>
    <w:rsid w:val="00DC0D17"/>
    <w:rsid w:val="00DC0DA8"/>
    <w:rsid w:val="00DC1A39"/>
    <w:rsid w:val="00DC1E3C"/>
    <w:rsid w:val="00DC1E8D"/>
    <w:rsid w:val="00DC201D"/>
    <w:rsid w:val="00DC249F"/>
    <w:rsid w:val="00DC2741"/>
    <w:rsid w:val="00DC29E3"/>
    <w:rsid w:val="00DC2D24"/>
    <w:rsid w:val="00DC3297"/>
    <w:rsid w:val="00DC3300"/>
    <w:rsid w:val="00DC37AD"/>
    <w:rsid w:val="00DC3ECA"/>
    <w:rsid w:val="00DC41CC"/>
    <w:rsid w:val="00DC41D1"/>
    <w:rsid w:val="00DC41D7"/>
    <w:rsid w:val="00DC4541"/>
    <w:rsid w:val="00DC4646"/>
    <w:rsid w:val="00DC482A"/>
    <w:rsid w:val="00DC4DA6"/>
    <w:rsid w:val="00DC546F"/>
    <w:rsid w:val="00DC56D5"/>
    <w:rsid w:val="00DC58C1"/>
    <w:rsid w:val="00DC5BAA"/>
    <w:rsid w:val="00DC5C94"/>
    <w:rsid w:val="00DC5E92"/>
    <w:rsid w:val="00DC5FA4"/>
    <w:rsid w:val="00DC625D"/>
    <w:rsid w:val="00DC64E3"/>
    <w:rsid w:val="00DC64F4"/>
    <w:rsid w:val="00DC65B1"/>
    <w:rsid w:val="00DC664F"/>
    <w:rsid w:val="00DC672A"/>
    <w:rsid w:val="00DC68A2"/>
    <w:rsid w:val="00DC6F07"/>
    <w:rsid w:val="00DC72E6"/>
    <w:rsid w:val="00DC74B6"/>
    <w:rsid w:val="00DC7DDD"/>
    <w:rsid w:val="00DD01C3"/>
    <w:rsid w:val="00DD020D"/>
    <w:rsid w:val="00DD0636"/>
    <w:rsid w:val="00DD087F"/>
    <w:rsid w:val="00DD0900"/>
    <w:rsid w:val="00DD0ABF"/>
    <w:rsid w:val="00DD16C4"/>
    <w:rsid w:val="00DD193E"/>
    <w:rsid w:val="00DD1BF8"/>
    <w:rsid w:val="00DD1E1C"/>
    <w:rsid w:val="00DD22DF"/>
    <w:rsid w:val="00DD23FA"/>
    <w:rsid w:val="00DD242F"/>
    <w:rsid w:val="00DD2601"/>
    <w:rsid w:val="00DD29C2"/>
    <w:rsid w:val="00DD29ED"/>
    <w:rsid w:val="00DD2F8E"/>
    <w:rsid w:val="00DD334A"/>
    <w:rsid w:val="00DD36C0"/>
    <w:rsid w:val="00DD380C"/>
    <w:rsid w:val="00DD3873"/>
    <w:rsid w:val="00DD3A9A"/>
    <w:rsid w:val="00DD3DBC"/>
    <w:rsid w:val="00DD4051"/>
    <w:rsid w:val="00DD4235"/>
    <w:rsid w:val="00DD4309"/>
    <w:rsid w:val="00DD4FAC"/>
    <w:rsid w:val="00DD5130"/>
    <w:rsid w:val="00DD51A8"/>
    <w:rsid w:val="00DD532C"/>
    <w:rsid w:val="00DD5344"/>
    <w:rsid w:val="00DD54E4"/>
    <w:rsid w:val="00DD5637"/>
    <w:rsid w:val="00DD5B1C"/>
    <w:rsid w:val="00DD5B90"/>
    <w:rsid w:val="00DD5F66"/>
    <w:rsid w:val="00DD61D7"/>
    <w:rsid w:val="00DD62AB"/>
    <w:rsid w:val="00DD6336"/>
    <w:rsid w:val="00DD726D"/>
    <w:rsid w:val="00DD7432"/>
    <w:rsid w:val="00DD77F3"/>
    <w:rsid w:val="00DE008A"/>
    <w:rsid w:val="00DE0B89"/>
    <w:rsid w:val="00DE1307"/>
    <w:rsid w:val="00DE1545"/>
    <w:rsid w:val="00DE1596"/>
    <w:rsid w:val="00DE1B16"/>
    <w:rsid w:val="00DE1C97"/>
    <w:rsid w:val="00DE2645"/>
    <w:rsid w:val="00DE2840"/>
    <w:rsid w:val="00DE3B72"/>
    <w:rsid w:val="00DE3CA2"/>
    <w:rsid w:val="00DE4684"/>
    <w:rsid w:val="00DE46B2"/>
    <w:rsid w:val="00DE481B"/>
    <w:rsid w:val="00DE4820"/>
    <w:rsid w:val="00DE48F2"/>
    <w:rsid w:val="00DE4976"/>
    <w:rsid w:val="00DE4C44"/>
    <w:rsid w:val="00DE4EB9"/>
    <w:rsid w:val="00DE54C2"/>
    <w:rsid w:val="00DE5906"/>
    <w:rsid w:val="00DE5EA5"/>
    <w:rsid w:val="00DE614B"/>
    <w:rsid w:val="00DE63E3"/>
    <w:rsid w:val="00DE68C6"/>
    <w:rsid w:val="00DE6E29"/>
    <w:rsid w:val="00DE6F28"/>
    <w:rsid w:val="00DE71AE"/>
    <w:rsid w:val="00DE765B"/>
    <w:rsid w:val="00DE76A2"/>
    <w:rsid w:val="00DE7733"/>
    <w:rsid w:val="00DE7874"/>
    <w:rsid w:val="00DF0897"/>
    <w:rsid w:val="00DF0A61"/>
    <w:rsid w:val="00DF0B7A"/>
    <w:rsid w:val="00DF0C4E"/>
    <w:rsid w:val="00DF0F2A"/>
    <w:rsid w:val="00DF132E"/>
    <w:rsid w:val="00DF1481"/>
    <w:rsid w:val="00DF14B8"/>
    <w:rsid w:val="00DF155E"/>
    <w:rsid w:val="00DF1C4C"/>
    <w:rsid w:val="00DF2215"/>
    <w:rsid w:val="00DF22C8"/>
    <w:rsid w:val="00DF2684"/>
    <w:rsid w:val="00DF29DE"/>
    <w:rsid w:val="00DF2B3E"/>
    <w:rsid w:val="00DF2C6D"/>
    <w:rsid w:val="00DF3C66"/>
    <w:rsid w:val="00DF44FB"/>
    <w:rsid w:val="00DF4816"/>
    <w:rsid w:val="00DF4826"/>
    <w:rsid w:val="00DF4A9A"/>
    <w:rsid w:val="00DF4B08"/>
    <w:rsid w:val="00DF51B9"/>
    <w:rsid w:val="00DF59F3"/>
    <w:rsid w:val="00DF5D47"/>
    <w:rsid w:val="00DF60F9"/>
    <w:rsid w:val="00DF6198"/>
    <w:rsid w:val="00DF63B1"/>
    <w:rsid w:val="00DF6473"/>
    <w:rsid w:val="00DF65E3"/>
    <w:rsid w:val="00DF673A"/>
    <w:rsid w:val="00DF697C"/>
    <w:rsid w:val="00DF6BDD"/>
    <w:rsid w:val="00DF701B"/>
    <w:rsid w:val="00DF7096"/>
    <w:rsid w:val="00DF78F2"/>
    <w:rsid w:val="00DF7F6A"/>
    <w:rsid w:val="00DF7F7D"/>
    <w:rsid w:val="00E0041A"/>
    <w:rsid w:val="00E0043E"/>
    <w:rsid w:val="00E0068A"/>
    <w:rsid w:val="00E006AB"/>
    <w:rsid w:val="00E00D14"/>
    <w:rsid w:val="00E0103B"/>
    <w:rsid w:val="00E01197"/>
    <w:rsid w:val="00E01214"/>
    <w:rsid w:val="00E01490"/>
    <w:rsid w:val="00E02004"/>
    <w:rsid w:val="00E02529"/>
    <w:rsid w:val="00E026D2"/>
    <w:rsid w:val="00E0272E"/>
    <w:rsid w:val="00E03140"/>
    <w:rsid w:val="00E0321B"/>
    <w:rsid w:val="00E0326A"/>
    <w:rsid w:val="00E038F4"/>
    <w:rsid w:val="00E04070"/>
    <w:rsid w:val="00E0421D"/>
    <w:rsid w:val="00E046D7"/>
    <w:rsid w:val="00E046E2"/>
    <w:rsid w:val="00E04985"/>
    <w:rsid w:val="00E05302"/>
    <w:rsid w:val="00E05363"/>
    <w:rsid w:val="00E05B64"/>
    <w:rsid w:val="00E06262"/>
    <w:rsid w:val="00E0683E"/>
    <w:rsid w:val="00E06908"/>
    <w:rsid w:val="00E06AE2"/>
    <w:rsid w:val="00E06FA8"/>
    <w:rsid w:val="00E07303"/>
    <w:rsid w:val="00E074A0"/>
    <w:rsid w:val="00E074BC"/>
    <w:rsid w:val="00E10399"/>
    <w:rsid w:val="00E104CC"/>
    <w:rsid w:val="00E10ACB"/>
    <w:rsid w:val="00E10F68"/>
    <w:rsid w:val="00E10F70"/>
    <w:rsid w:val="00E1101B"/>
    <w:rsid w:val="00E113E3"/>
    <w:rsid w:val="00E119D9"/>
    <w:rsid w:val="00E11CE8"/>
    <w:rsid w:val="00E11E78"/>
    <w:rsid w:val="00E122A5"/>
    <w:rsid w:val="00E12442"/>
    <w:rsid w:val="00E125BC"/>
    <w:rsid w:val="00E12624"/>
    <w:rsid w:val="00E12744"/>
    <w:rsid w:val="00E12A9C"/>
    <w:rsid w:val="00E12EBD"/>
    <w:rsid w:val="00E13020"/>
    <w:rsid w:val="00E131E0"/>
    <w:rsid w:val="00E13501"/>
    <w:rsid w:val="00E13602"/>
    <w:rsid w:val="00E14024"/>
    <w:rsid w:val="00E145E6"/>
    <w:rsid w:val="00E149B5"/>
    <w:rsid w:val="00E149E2"/>
    <w:rsid w:val="00E15045"/>
    <w:rsid w:val="00E157F7"/>
    <w:rsid w:val="00E15A9F"/>
    <w:rsid w:val="00E16065"/>
    <w:rsid w:val="00E166F7"/>
    <w:rsid w:val="00E16F9A"/>
    <w:rsid w:val="00E16FCF"/>
    <w:rsid w:val="00E17110"/>
    <w:rsid w:val="00E172BC"/>
    <w:rsid w:val="00E17564"/>
    <w:rsid w:val="00E179DD"/>
    <w:rsid w:val="00E17E23"/>
    <w:rsid w:val="00E201C7"/>
    <w:rsid w:val="00E2027E"/>
    <w:rsid w:val="00E2043A"/>
    <w:rsid w:val="00E20B8F"/>
    <w:rsid w:val="00E20FEF"/>
    <w:rsid w:val="00E21286"/>
    <w:rsid w:val="00E21558"/>
    <w:rsid w:val="00E21C88"/>
    <w:rsid w:val="00E21D8E"/>
    <w:rsid w:val="00E21E99"/>
    <w:rsid w:val="00E2228A"/>
    <w:rsid w:val="00E22844"/>
    <w:rsid w:val="00E2284C"/>
    <w:rsid w:val="00E2292B"/>
    <w:rsid w:val="00E22B5C"/>
    <w:rsid w:val="00E22D7D"/>
    <w:rsid w:val="00E22E9B"/>
    <w:rsid w:val="00E23268"/>
    <w:rsid w:val="00E2348D"/>
    <w:rsid w:val="00E234CA"/>
    <w:rsid w:val="00E23742"/>
    <w:rsid w:val="00E237C3"/>
    <w:rsid w:val="00E24150"/>
    <w:rsid w:val="00E244BA"/>
    <w:rsid w:val="00E244EA"/>
    <w:rsid w:val="00E24669"/>
    <w:rsid w:val="00E24739"/>
    <w:rsid w:val="00E24966"/>
    <w:rsid w:val="00E24C77"/>
    <w:rsid w:val="00E24D81"/>
    <w:rsid w:val="00E25822"/>
    <w:rsid w:val="00E2654D"/>
    <w:rsid w:val="00E26632"/>
    <w:rsid w:val="00E26BBD"/>
    <w:rsid w:val="00E26DD1"/>
    <w:rsid w:val="00E275FF"/>
    <w:rsid w:val="00E2761C"/>
    <w:rsid w:val="00E27BA9"/>
    <w:rsid w:val="00E303DE"/>
    <w:rsid w:val="00E31911"/>
    <w:rsid w:val="00E31B2F"/>
    <w:rsid w:val="00E323C2"/>
    <w:rsid w:val="00E32E29"/>
    <w:rsid w:val="00E33025"/>
    <w:rsid w:val="00E333B3"/>
    <w:rsid w:val="00E33B84"/>
    <w:rsid w:val="00E33C55"/>
    <w:rsid w:val="00E33DC2"/>
    <w:rsid w:val="00E345A5"/>
    <w:rsid w:val="00E345D7"/>
    <w:rsid w:val="00E345DB"/>
    <w:rsid w:val="00E34680"/>
    <w:rsid w:val="00E3488B"/>
    <w:rsid w:val="00E34922"/>
    <w:rsid w:val="00E34E63"/>
    <w:rsid w:val="00E355AD"/>
    <w:rsid w:val="00E35927"/>
    <w:rsid w:val="00E35B1E"/>
    <w:rsid w:val="00E35FB8"/>
    <w:rsid w:val="00E35FE6"/>
    <w:rsid w:val="00E360BD"/>
    <w:rsid w:val="00E36D57"/>
    <w:rsid w:val="00E36DD0"/>
    <w:rsid w:val="00E36F55"/>
    <w:rsid w:val="00E37176"/>
    <w:rsid w:val="00E37A4D"/>
    <w:rsid w:val="00E403CD"/>
    <w:rsid w:val="00E406A0"/>
    <w:rsid w:val="00E406C2"/>
    <w:rsid w:val="00E40A29"/>
    <w:rsid w:val="00E41015"/>
    <w:rsid w:val="00E413DA"/>
    <w:rsid w:val="00E41D4E"/>
    <w:rsid w:val="00E425F3"/>
    <w:rsid w:val="00E42981"/>
    <w:rsid w:val="00E431C5"/>
    <w:rsid w:val="00E432E0"/>
    <w:rsid w:val="00E43387"/>
    <w:rsid w:val="00E434D7"/>
    <w:rsid w:val="00E43672"/>
    <w:rsid w:val="00E43957"/>
    <w:rsid w:val="00E43AA7"/>
    <w:rsid w:val="00E43B5D"/>
    <w:rsid w:val="00E440AA"/>
    <w:rsid w:val="00E44255"/>
    <w:rsid w:val="00E4461D"/>
    <w:rsid w:val="00E44C9D"/>
    <w:rsid w:val="00E44D6E"/>
    <w:rsid w:val="00E45724"/>
    <w:rsid w:val="00E45883"/>
    <w:rsid w:val="00E45CFD"/>
    <w:rsid w:val="00E46696"/>
    <w:rsid w:val="00E46A5B"/>
    <w:rsid w:val="00E46BDB"/>
    <w:rsid w:val="00E46CAC"/>
    <w:rsid w:val="00E4715C"/>
    <w:rsid w:val="00E50137"/>
    <w:rsid w:val="00E502A0"/>
    <w:rsid w:val="00E506DF"/>
    <w:rsid w:val="00E50B1B"/>
    <w:rsid w:val="00E511E1"/>
    <w:rsid w:val="00E5125C"/>
    <w:rsid w:val="00E51C0A"/>
    <w:rsid w:val="00E521A2"/>
    <w:rsid w:val="00E52493"/>
    <w:rsid w:val="00E52699"/>
    <w:rsid w:val="00E526D9"/>
    <w:rsid w:val="00E53157"/>
    <w:rsid w:val="00E537A3"/>
    <w:rsid w:val="00E53945"/>
    <w:rsid w:val="00E53BD0"/>
    <w:rsid w:val="00E544CF"/>
    <w:rsid w:val="00E54527"/>
    <w:rsid w:val="00E5497C"/>
    <w:rsid w:val="00E54E10"/>
    <w:rsid w:val="00E5507E"/>
    <w:rsid w:val="00E55153"/>
    <w:rsid w:val="00E55221"/>
    <w:rsid w:val="00E5565C"/>
    <w:rsid w:val="00E55DDB"/>
    <w:rsid w:val="00E55F94"/>
    <w:rsid w:val="00E5650B"/>
    <w:rsid w:val="00E566C2"/>
    <w:rsid w:val="00E56B90"/>
    <w:rsid w:val="00E56E5E"/>
    <w:rsid w:val="00E570CF"/>
    <w:rsid w:val="00E573D0"/>
    <w:rsid w:val="00E5745D"/>
    <w:rsid w:val="00E57609"/>
    <w:rsid w:val="00E57875"/>
    <w:rsid w:val="00E57CBA"/>
    <w:rsid w:val="00E6001C"/>
    <w:rsid w:val="00E60153"/>
    <w:rsid w:val="00E6032D"/>
    <w:rsid w:val="00E6051B"/>
    <w:rsid w:val="00E60CB3"/>
    <w:rsid w:val="00E60DB6"/>
    <w:rsid w:val="00E611A7"/>
    <w:rsid w:val="00E61816"/>
    <w:rsid w:val="00E6189A"/>
    <w:rsid w:val="00E61A95"/>
    <w:rsid w:val="00E61F85"/>
    <w:rsid w:val="00E62296"/>
    <w:rsid w:val="00E62660"/>
    <w:rsid w:val="00E62748"/>
    <w:rsid w:val="00E62753"/>
    <w:rsid w:val="00E62B8E"/>
    <w:rsid w:val="00E62EBE"/>
    <w:rsid w:val="00E63338"/>
    <w:rsid w:val="00E633E7"/>
    <w:rsid w:val="00E635A6"/>
    <w:rsid w:val="00E635F8"/>
    <w:rsid w:val="00E637D5"/>
    <w:rsid w:val="00E6397F"/>
    <w:rsid w:val="00E63A96"/>
    <w:rsid w:val="00E63BBE"/>
    <w:rsid w:val="00E64406"/>
    <w:rsid w:val="00E64E29"/>
    <w:rsid w:val="00E65402"/>
    <w:rsid w:val="00E65482"/>
    <w:rsid w:val="00E660E5"/>
    <w:rsid w:val="00E66215"/>
    <w:rsid w:val="00E6624A"/>
    <w:rsid w:val="00E663C6"/>
    <w:rsid w:val="00E665DF"/>
    <w:rsid w:val="00E665E4"/>
    <w:rsid w:val="00E66A33"/>
    <w:rsid w:val="00E67377"/>
    <w:rsid w:val="00E676B5"/>
    <w:rsid w:val="00E6774A"/>
    <w:rsid w:val="00E677E1"/>
    <w:rsid w:val="00E67989"/>
    <w:rsid w:val="00E67A20"/>
    <w:rsid w:val="00E70B9A"/>
    <w:rsid w:val="00E70C3E"/>
    <w:rsid w:val="00E71B7E"/>
    <w:rsid w:val="00E71BBE"/>
    <w:rsid w:val="00E724C0"/>
    <w:rsid w:val="00E72C26"/>
    <w:rsid w:val="00E72F19"/>
    <w:rsid w:val="00E7306A"/>
    <w:rsid w:val="00E73722"/>
    <w:rsid w:val="00E73E05"/>
    <w:rsid w:val="00E740A6"/>
    <w:rsid w:val="00E7457D"/>
    <w:rsid w:val="00E74B0E"/>
    <w:rsid w:val="00E74CEA"/>
    <w:rsid w:val="00E758C3"/>
    <w:rsid w:val="00E75D65"/>
    <w:rsid w:val="00E75FB8"/>
    <w:rsid w:val="00E763DE"/>
    <w:rsid w:val="00E769FD"/>
    <w:rsid w:val="00E76CD1"/>
    <w:rsid w:val="00E773CA"/>
    <w:rsid w:val="00E774B7"/>
    <w:rsid w:val="00E776EB"/>
    <w:rsid w:val="00E77B92"/>
    <w:rsid w:val="00E77D0D"/>
    <w:rsid w:val="00E80589"/>
    <w:rsid w:val="00E80C8E"/>
    <w:rsid w:val="00E81141"/>
    <w:rsid w:val="00E815E3"/>
    <w:rsid w:val="00E822F6"/>
    <w:rsid w:val="00E8256B"/>
    <w:rsid w:val="00E82622"/>
    <w:rsid w:val="00E82669"/>
    <w:rsid w:val="00E82793"/>
    <w:rsid w:val="00E83012"/>
    <w:rsid w:val="00E832ED"/>
    <w:rsid w:val="00E8343F"/>
    <w:rsid w:val="00E83625"/>
    <w:rsid w:val="00E838E2"/>
    <w:rsid w:val="00E8413B"/>
    <w:rsid w:val="00E84A75"/>
    <w:rsid w:val="00E84E58"/>
    <w:rsid w:val="00E8542B"/>
    <w:rsid w:val="00E856F7"/>
    <w:rsid w:val="00E85AF4"/>
    <w:rsid w:val="00E85DEC"/>
    <w:rsid w:val="00E86C78"/>
    <w:rsid w:val="00E86D45"/>
    <w:rsid w:val="00E874A9"/>
    <w:rsid w:val="00E87C7C"/>
    <w:rsid w:val="00E903E1"/>
    <w:rsid w:val="00E90D14"/>
    <w:rsid w:val="00E90D49"/>
    <w:rsid w:val="00E91113"/>
    <w:rsid w:val="00E911D3"/>
    <w:rsid w:val="00E916FD"/>
    <w:rsid w:val="00E91BA7"/>
    <w:rsid w:val="00E91E39"/>
    <w:rsid w:val="00E91E5C"/>
    <w:rsid w:val="00E9269F"/>
    <w:rsid w:val="00E92B61"/>
    <w:rsid w:val="00E9313E"/>
    <w:rsid w:val="00E93AC3"/>
    <w:rsid w:val="00E93CF9"/>
    <w:rsid w:val="00E93F60"/>
    <w:rsid w:val="00E940B1"/>
    <w:rsid w:val="00E943BB"/>
    <w:rsid w:val="00E94490"/>
    <w:rsid w:val="00E94D0C"/>
    <w:rsid w:val="00E95988"/>
    <w:rsid w:val="00E95AAD"/>
    <w:rsid w:val="00E95B28"/>
    <w:rsid w:val="00E95C49"/>
    <w:rsid w:val="00E960B0"/>
    <w:rsid w:val="00E960C2"/>
    <w:rsid w:val="00E96B1A"/>
    <w:rsid w:val="00E96C39"/>
    <w:rsid w:val="00E97189"/>
    <w:rsid w:val="00E972D9"/>
    <w:rsid w:val="00EA06D9"/>
    <w:rsid w:val="00EA0B3F"/>
    <w:rsid w:val="00EA0B50"/>
    <w:rsid w:val="00EA0CB3"/>
    <w:rsid w:val="00EA0D52"/>
    <w:rsid w:val="00EA1286"/>
    <w:rsid w:val="00EA14CC"/>
    <w:rsid w:val="00EA1F96"/>
    <w:rsid w:val="00EA234A"/>
    <w:rsid w:val="00EA23A7"/>
    <w:rsid w:val="00EA23C0"/>
    <w:rsid w:val="00EA24D0"/>
    <w:rsid w:val="00EA255D"/>
    <w:rsid w:val="00EA26CC"/>
    <w:rsid w:val="00EA27B9"/>
    <w:rsid w:val="00EA2C54"/>
    <w:rsid w:val="00EA2E77"/>
    <w:rsid w:val="00EA3122"/>
    <w:rsid w:val="00EA32BA"/>
    <w:rsid w:val="00EA331C"/>
    <w:rsid w:val="00EA38E9"/>
    <w:rsid w:val="00EA3B1D"/>
    <w:rsid w:val="00EA3DC3"/>
    <w:rsid w:val="00EA3F08"/>
    <w:rsid w:val="00EA421A"/>
    <w:rsid w:val="00EA46D4"/>
    <w:rsid w:val="00EA48D5"/>
    <w:rsid w:val="00EA4C6B"/>
    <w:rsid w:val="00EA518B"/>
    <w:rsid w:val="00EA551F"/>
    <w:rsid w:val="00EA56D8"/>
    <w:rsid w:val="00EA63B7"/>
    <w:rsid w:val="00EA64FD"/>
    <w:rsid w:val="00EA68C1"/>
    <w:rsid w:val="00EA6BD4"/>
    <w:rsid w:val="00EA6BE0"/>
    <w:rsid w:val="00EA74BA"/>
    <w:rsid w:val="00EA7B45"/>
    <w:rsid w:val="00EA7C55"/>
    <w:rsid w:val="00EA7C87"/>
    <w:rsid w:val="00EB02B7"/>
    <w:rsid w:val="00EB038A"/>
    <w:rsid w:val="00EB0C56"/>
    <w:rsid w:val="00EB0CF6"/>
    <w:rsid w:val="00EB1159"/>
    <w:rsid w:val="00EB12E8"/>
    <w:rsid w:val="00EB1BD7"/>
    <w:rsid w:val="00EB1D8C"/>
    <w:rsid w:val="00EB21C8"/>
    <w:rsid w:val="00EB284D"/>
    <w:rsid w:val="00EB2B0E"/>
    <w:rsid w:val="00EB302D"/>
    <w:rsid w:val="00EB38A0"/>
    <w:rsid w:val="00EB3C5F"/>
    <w:rsid w:val="00EB42BE"/>
    <w:rsid w:val="00EB42D7"/>
    <w:rsid w:val="00EB4454"/>
    <w:rsid w:val="00EB4699"/>
    <w:rsid w:val="00EB46EC"/>
    <w:rsid w:val="00EB4746"/>
    <w:rsid w:val="00EB4E63"/>
    <w:rsid w:val="00EB4F89"/>
    <w:rsid w:val="00EB5069"/>
    <w:rsid w:val="00EB575C"/>
    <w:rsid w:val="00EB5F5E"/>
    <w:rsid w:val="00EB6427"/>
    <w:rsid w:val="00EB65C0"/>
    <w:rsid w:val="00EB6993"/>
    <w:rsid w:val="00EB6C77"/>
    <w:rsid w:val="00EB6F5B"/>
    <w:rsid w:val="00EB78A2"/>
    <w:rsid w:val="00EC01B2"/>
    <w:rsid w:val="00EC07A6"/>
    <w:rsid w:val="00EC0FEC"/>
    <w:rsid w:val="00EC1CF3"/>
    <w:rsid w:val="00EC1D17"/>
    <w:rsid w:val="00EC2162"/>
    <w:rsid w:val="00EC2766"/>
    <w:rsid w:val="00EC2C2F"/>
    <w:rsid w:val="00EC2E14"/>
    <w:rsid w:val="00EC2F08"/>
    <w:rsid w:val="00EC30D5"/>
    <w:rsid w:val="00EC31E4"/>
    <w:rsid w:val="00EC33CF"/>
    <w:rsid w:val="00EC395B"/>
    <w:rsid w:val="00EC3C77"/>
    <w:rsid w:val="00EC4080"/>
    <w:rsid w:val="00EC43E3"/>
    <w:rsid w:val="00EC44EC"/>
    <w:rsid w:val="00EC57AB"/>
    <w:rsid w:val="00EC63F5"/>
    <w:rsid w:val="00EC6525"/>
    <w:rsid w:val="00EC681C"/>
    <w:rsid w:val="00EC6900"/>
    <w:rsid w:val="00EC6941"/>
    <w:rsid w:val="00EC6B97"/>
    <w:rsid w:val="00EC6CD7"/>
    <w:rsid w:val="00EC71C5"/>
    <w:rsid w:val="00EC728C"/>
    <w:rsid w:val="00EC78BE"/>
    <w:rsid w:val="00EC7A3A"/>
    <w:rsid w:val="00ED0047"/>
    <w:rsid w:val="00ED026D"/>
    <w:rsid w:val="00ED04CD"/>
    <w:rsid w:val="00ED0BF5"/>
    <w:rsid w:val="00ED103F"/>
    <w:rsid w:val="00ED121B"/>
    <w:rsid w:val="00ED1777"/>
    <w:rsid w:val="00ED1806"/>
    <w:rsid w:val="00ED2516"/>
    <w:rsid w:val="00ED271A"/>
    <w:rsid w:val="00ED2D11"/>
    <w:rsid w:val="00ED30FA"/>
    <w:rsid w:val="00ED35C1"/>
    <w:rsid w:val="00ED3B32"/>
    <w:rsid w:val="00ED3B9B"/>
    <w:rsid w:val="00ED419D"/>
    <w:rsid w:val="00ED43FB"/>
    <w:rsid w:val="00ED4D07"/>
    <w:rsid w:val="00ED5630"/>
    <w:rsid w:val="00ED5878"/>
    <w:rsid w:val="00ED5982"/>
    <w:rsid w:val="00ED5D9C"/>
    <w:rsid w:val="00ED6239"/>
    <w:rsid w:val="00ED6289"/>
    <w:rsid w:val="00ED6832"/>
    <w:rsid w:val="00ED6CE4"/>
    <w:rsid w:val="00ED704D"/>
    <w:rsid w:val="00ED70FA"/>
    <w:rsid w:val="00ED7D48"/>
    <w:rsid w:val="00EE0BF4"/>
    <w:rsid w:val="00EE0DE0"/>
    <w:rsid w:val="00EE0FC2"/>
    <w:rsid w:val="00EE12AA"/>
    <w:rsid w:val="00EE16C6"/>
    <w:rsid w:val="00EE1AEF"/>
    <w:rsid w:val="00EE1F13"/>
    <w:rsid w:val="00EE23CD"/>
    <w:rsid w:val="00EE2720"/>
    <w:rsid w:val="00EE29EF"/>
    <w:rsid w:val="00EE2D4B"/>
    <w:rsid w:val="00EE2D7A"/>
    <w:rsid w:val="00EE2EC5"/>
    <w:rsid w:val="00EE2EDA"/>
    <w:rsid w:val="00EE3233"/>
    <w:rsid w:val="00EE3424"/>
    <w:rsid w:val="00EE3493"/>
    <w:rsid w:val="00EE34C9"/>
    <w:rsid w:val="00EE3818"/>
    <w:rsid w:val="00EE3E74"/>
    <w:rsid w:val="00EE45D1"/>
    <w:rsid w:val="00EE464F"/>
    <w:rsid w:val="00EE4EE1"/>
    <w:rsid w:val="00EE5332"/>
    <w:rsid w:val="00EE5417"/>
    <w:rsid w:val="00EE59E5"/>
    <w:rsid w:val="00EE610F"/>
    <w:rsid w:val="00EE6B28"/>
    <w:rsid w:val="00EE6D02"/>
    <w:rsid w:val="00EE6DB6"/>
    <w:rsid w:val="00EE6EBE"/>
    <w:rsid w:val="00EE6FCF"/>
    <w:rsid w:val="00EE7502"/>
    <w:rsid w:val="00EE78F0"/>
    <w:rsid w:val="00EE7F68"/>
    <w:rsid w:val="00EF0261"/>
    <w:rsid w:val="00EF0368"/>
    <w:rsid w:val="00EF0578"/>
    <w:rsid w:val="00EF0657"/>
    <w:rsid w:val="00EF0C49"/>
    <w:rsid w:val="00EF0DEB"/>
    <w:rsid w:val="00EF1E14"/>
    <w:rsid w:val="00EF26D1"/>
    <w:rsid w:val="00EF2993"/>
    <w:rsid w:val="00EF2B49"/>
    <w:rsid w:val="00EF347D"/>
    <w:rsid w:val="00EF389A"/>
    <w:rsid w:val="00EF3B8C"/>
    <w:rsid w:val="00EF3CCE"/>
    <w:rsid w:val="00EF3D01"/>
    <w:rsid w:val="00EF4047"/>
    <w:rsid w:val="00EF42C6"/>
    <w:rsid w:val="00EF4625"/>
    <w:rsid w:val="00EF482A"/>
    <w:rsid w:val="00EF4E3F"/>
    <w:rsid w:val="00EF5557"/>
    <w:rsid w:val="00EF583D"/>
    <w:rsid w:val="00EF6431"/>
    <w:rsid w:val="00EF692B"/>
    <w:rsid w:val="00EF6A30"/>
    <w:rsid w:val="00EF6CB3"/>
    <w:rsid w:val="00EF741A"/>
    <w:rsid w:val="00EF7502"/>
    <w:rsid w:val="00EF7CDB"/>
    <w:rsid w:val="00F00232"/>
    <w:rsid w:val="00F00476"/>
    <w:rsid w:val="00F005B9"/>
    <w:rsid w:val="00F0088F"/>
    <w:rsid w:val="00F00A44"/>
    <w:rsid w:val="00F00AB4"/>
    <w:rsid w:val="00F00F47"/>
    <w:rsid w:val="00F0110A"/>
    <w:rsid w:val="00F01180"/>
    <w:rsid w:val="00F01BB1"/>
    <w:rsid w:val="00F0269C"/>
    <w:rsid w:val="00F028E9"/>
    <w:rsid w:val="00F02BC9"/>
    <w:rsid w:val="00F02CD3"/>
    <w:rsid w:val="00F0362D"/>
    <w:rsid w:val="00F04489"/>
    <w:rsid w:val="00F0549A"/>
    <w:rsid w:val="00F060BD"/>
    <w:rsid w:val="00F06629"/>
    <w:rsid w:val="00F0667B"/>
    <w:rsid w:val="00F06D13"/>
    <w:rsid w:val="00F06DE4"/>
    <w:rsid w:val="00F070FF"/>
    <w:rsid w:val="00F07209"/>
    <w:rsid w:val="00F072A9"/>
    <w:rsid w:val="00F075A8"/>
    <w:rsid w:val="00F0774A"/>
    <w:rsid w:val="00F10103"/>
    <w:rsid w:val="00F1051F"/>
    <w:rsid w:val="00F10D3F"/>
    <w:rsid w:val="00F11088"/>
    <w:rsid w:val="00F11206"/>
    <w:rsid w:val="00F113D2"/>
    <w:rsid w:val="00F11899"/>
    <w:rsid w:val="00F11A2F"/>
    <w:rsid w:val="00F11DB2"/>
    <w:rsid w:val="00F11DF7"/>
    <w:rsid w:val="00F11E70"/>
    <w:rsid w:val="00F11E93"/>
    <w:rsid w:val="00F12557"/>
    <w:rsid w:val="00F12C12"/>
    <w:rsid w:val="00F13062"/>
    <w:rsid w:val="00F1425C"/>
    <w:rsid w:val="00F1461B"/>
    <w:rsid w:val="00F14639"/>
    <w:rsid w:val="00F14CCA"/>
    <w:rsid w:val="00F1501E"/>
    <w:rsid w:val="00F156F0"/>
    <w:rsid w:val="00F15A7B"/>
    <w:rsid w:val="00F15DD6"/>
    <w:rsid w:val="00F15E87"/>
    <w:rsid w:val="00F15EF3"/>
    <w:rsid w:val="00F1640A"/>
    <w:rsid w:val="00F1653C"/>
    <w:rsid w:val="00F16838"/>
    <w:rsid w:val="00F16C31"/>
    <w:rsid w:val="00F17539"/>
    <w:rsid w:val="00F1786F"/>
    <w:rsid w:val="00F17DAF"/>
    <w:rsid w:val="00F2017F"/>
    <w:rsid w:val="00F2051E"/>
    <w:rsid w:val="00F20748"/>
    <w:rsid w:val="00F20B63"/>
    <w:rsid w:val="00F20E14"/>
    <w:rsid w:val="00F210E5"/>
    <w:rsid w:val="00F211F6"/>
    <w:rsid w:val="00F214CC"/>
    <w:rsid w:val="00F2181F"/>
    <w:rsid w:val="00F21857"/>
    <w:rsid w:val="00F21D34"/>
    <w:rsid w:val="00F21FF4"/>
    <w:rsid w:val="00F2279A"/>
    <w:rsid w:val="00F227D6"/>
    <w:rsid w:val="00F22C5B"/>
    <w:rsid w:val="00F230C1"/>
    <w:rsid w:val="00F2390F"/>
    <w:rsid w:val="00F23D3F"/>
    <w:rsid w:val="00F23EDF"/>
    <w:rsid w:val="00F2413A"/>
    <w:rsid w:val="00F2461E"/>
    <w:rsid w:val="00F246C7"/>
    <w:rsid w:val="00F24965"/>
    <w:rsid w:val="00F25068"/>
    <w:rsid w:val="00F25D27"/>
    <w:rsid w:val="00F25DDF"/>
    <w:rsid w:val="00F25E65"/>
    <w:rsid w:val="00F25EAD"/>
    <w:rsid w:val="00F26049"/>
    <w:rsid w:val="00F26A16"/>
    <w:rsid w:val="00F27FB7"/>
    <w:rsid w:val="00F300E9"/>
    <w:rsid w:val="00F301A7"/>
    <w:rsid w:val="00F302EE"/>
    <w:rsid w:val="00F30F88"/>
    <w:rsid w:val="00F31345"/>
    <w:rsid w:val="00F3195C"/>
    <w:rsid w:val="00F32283"/>
    <w:rsid w:val="00F32771"/>
    <w:rsid w:val="00F32EEA"/>
    <w:rsid w:val="00F33BC6"/>
    <w:rsid w:val="00F33DEF"/>
    <w:rsid w:val="00F33F88"/>
    <w:rsid w:val="00F3406F"/>
    <w:rsid w:val="00F340DA"/>
    <w:rsid w:val="00F3413B"/>
    <w:rsid w:val="00F342B5"/>
    <w:rsid w:val="00F3445D"/>
    <w:rsid w:val="00F34824"/>
    <w:rsid w:val="00F34964"/>
    <w:rsid w:val="00F349BF"/>
    <w:rsid w:val="00F34CB8"/>
    <w:rsid w:val="00F35A44"/>
    <w:rsid w:val="00F35ABF"/>
    <w:rsid w:val="00F35F6D"/>
    <w:rsid w:val="00F3649F"/>
    <w:rsid w:val="00F36608"/>
    <w:rsid w:val="00F36EBF"/>
    <w:rsid w:val="00F3714A"/>
    <w:rsid w:val="00F37C5D"/>
    <w:rsid w:val="00F37DB6"/>
    <w:rsid w:val="00F37E70"/>
    <w:rsid w:val="00F37F39"/>
    <w:rsid w:val="00F40350"/>
    <w:rsid w:val="00F40930"/>
    <w:rsid w:val="00F40BCA"/>
    <w:rsid w:val="00F41096"/>
    <w:rsid w:val="00F419C9"/>
    <w:rsid w:val="00F41E0C"/>
    <w:rsid w:val="00F426E1"/>
    <w:rsid w:val="00F42874"/>
    <w:rsid w:val="00F42DDD"/>
    <w:rsid w:val="00F42E04"/>
    <w:rsid w:val="00F42F2C"/>
    <w:rsid w:val="00F436F7"/>
    <w:rsid w:val="00F44073"/>
    <w:rsid w:val="00F4480C"/>
    <w:rsid w:val="00F44AA7"/>
    <w:rsid w:val="00F44BB8"/>
    <w:rsid w:val="00F44C11"/>
    <w:rsid w:val="00F44D6D"/>
    <w:rsid w:val="00F45245"/>
    <w:rsid w:val="00F453BC"/>
    <w:rsid w:val="00F454F6"/>
    <w:rsid w:val="00F4559A"/>
    <w:rsid w:val="00F4593F"/>
    <w:rsid w:val="00F461A7"/>
    <w:rsid w:val="00F465C0"/>
    <w:rsid w:val="00F47547"/>
    <w:rsid w:val="00F476CC"/>
    <w:rsid w:val="00F47870"/>
    <w:rsid w:val="00F47AFF"/>
    <w:rsid w:val="00F47DAA"/>
    <w:rsid w:val="00F5052A"/>
    <w:rsid w:val="00F50C51"/>
    <w:rsid w:val="00F513DE"/>
    <w:rsid w:val="00F51497"/>
    <w:rsid w:val="00F52109"/>
    <w:rsid w:val="00F52210"/>
    <w:rsid w:val="00F52B1D"/>
    <w:rsid w:val="00F52C5B"/>
    <w:rsid w:val="00F52E77"/>
    <w:rsid w:val="00F53420"/>
    <w:rsid w:val="00F5347A"/>
    <w:rsid w:val="00F5349B"/>
    <w:rsid w:val="00F53BDE"/>
    <w:rsid w:val="00F5421D"/>
    <w:rsid w:val="00F5432F"/>
    <w:rsid w:val="00F54D94"/>
    <w:rsid w:val="00F54DAA"/>
    <w:rsid w:val="00F55723"/>
    <w:rsid w:val="00F55C00"/>
    <w:rsid w:val="00F56281"/>
    <w:rsid w:val="00F56824"/>
    <w:rsid w:val="00F5694B"/>
    <w:rsid w:val="00F57651"/>
    <w:rsid w:val="00F57D83"/>
    <w:rsid w:val="00F6034B"/>
    <w:rsid w:val="00F60DCF"/>
    <w:rsid w:val="00F60ED8"/>
    <w:rsid w:val="00F61501"/>
    <w:rsid w:val="00F619A3"/>
    <w:rsid w:val="00F61AA0"/>
    <w:rsid w:val="00F61E8B"/>
    <w:rsid w:val="00F6246A"/>
    <w:rsid w:val="00F6296B"/>
    <w:rsid w:val="00F62A22"/>
    <w:rsid w:val="00F62BFC"/>
    <w:rsid w:val="00F62D30"/>
    <w:rsid w:val="00F62F1A"/>
    <w:rsid w:val="00F6302C"/>
    <w:rsid w:val="00F63252"/>
    <w:rsid w:val="00F639B0"/>
    <w:rsid w:val="00F63F19"/>
    <w:rsid w:val="00F64754"/>
    <w:rsid w:val="00F6487D"/>
    <w:rsid w:val="00F65174"/>
    <w:rsid w:val="00F6590C"/>
    <w:rsid w:val="00F65CE2"/>
    <w:rsid w:val="00F6607D"/>
    <w:rsid w:val="00F66E2B"/>
    <w:rsid w:val="00F671BE"/>
    <w:rsid w:val="00F67484"/>
    <w:rsid w:val="00F67B16"/>
    <w:rsid w:val="00F67C36"/>
    <w:rsid w:val="00F70007"/>
    <w:rsid w:val="00F70383"/>
    <w:rsid w:val="00F704D8"/>
    <w:rsid w:val="00F70CFD"/>
    <w:rsid w:val="00F71919"/>
    <w:rsid w:val="00F72398"/>
    <w:rsid w:val="00F72611"/>
    <w:rsid w:val="00F72F08"/>
    <w:rsid w:val="00F72FA7"/>
    <w:rsid w:val="00F7309E"/>
    <w:rsid w:val="00F73360"/>
    <w:rsid w:val="00F734DF"/>
    <w:rsid w:val="00F73595"/>
    <w:rsid w:val="00F7378A"/>
    <w:rsid w:val="00F739B8"/>
    <w:rsid w:val="00F73E5E"/>
    <w:rsid w:val="00F7408E"/>
    <w:rsid w:val="00F740D4"/>
    <w:rsid w:val="00F74199"/>
    <w:rsid w:val="00F7486D"/>
    <w:rsid w:val="00F74A51"/>
    <w:rsid w:val="00F7617C"/>
    <w:rsid w:val="00F76327"/>
    <w:rsid w:val="00F76334"/>
    <w:rsid w:val="00F766C1"/>
    <w:rsid w:val="00F768AA"/>
    <w:rsid w:val="00F76A0C"/>
    <w:rsid w:val="00F7716A"/>
    <w:rsid w:val="00F77208"/>
    <w:rsid w:val="00F7737C"/>
    <w:rsid w:val="00F778C2"/>
    <w:rsid w:val="00F778D0"/>
    <w:rsid w:val="00F77EC3"/>
    <w:rsid w:val="00F80954"/>
    <w:rsid w:val="00F816C4"/>
    <w:rsid w:val="00F8218B"/>
    <w:rsid w:val="00F826F6"/>
    <w:rsid w:val="00F82BE6"/>
    <w:rsid w:val="00F82C8B"/>
    <w:rsid w:val="00F83283"/>
    <w:rsid w:val="00F8328E"/>
    <w:rsid w:val="00F834CE"/>
    <w:rsid w:val="00F83536"/>
    <w:rsid w:val="00F83620"/>
    <w:rsid w:val="00F8374E"/>
    <w:rsid w:val="00F838C2"/>
    <w:rsid w:val="00F83ECB"/>
    <w:rsid w:val="00F84D1E"/>
    <w:rsid w:val="00F850AE"/>
    <w:rsid w:val="00F854A2"/>
    <w:rsid w:val="00F855FB"/>
    <w:rsid w:val="00F8568B"/>
    <w:rsid w:val="00F8592E"/>
    <w:rsid w:val="00F85A47"/>
    <w:rsid w:val="00F85ADD"/>
    <w:rsid w:val="00F86143"/>
    <w:rsid w:val="00F86AAE"/>
    <w:rsid w:val="00F86CC8"/>
    <w:rsid w:val="00F86DC4"/>
    <w:rsid w:val="00F870C4"/>
    <w:rsid w:val="00F87171"/>
    <w:rsid w:val="00F874AA"/>
    <w:rsid w:val="00F87994"/>
    <w:rsid w:val="00F87D6A"/>
    <w:rsid w:val="00F87DDE"/>
    <w:rsid w:val="00F87F1A"/>
    <w:rsid w:val="00F90254"/>
    <w:rsid w:val="00F903C2"/>
    <w:rsid w:val="00F90477"/>
    <w:rsid w:val="00F907E8"/>
    <w:rsid w:val="00F91326"/>
    <w:rsid w:val="00F92698"/>
    <w:rsid w:val="00F9270E"/>
    <w:rsid w:val="00F928F9"/>
    <w:rsid w:val="00F92901"/>
    <w:rsid w:val="00F92E8A"/>
    <w:rsid w:val="00F93111"/>
    <w:rsid w:val="00F93A8B"/>
    <w:rsid w:val="00F93AD0"/>
    <w:rsid w:val="00F93CF4"/>
    <w:rsid w:val="00F94DDD"/>
    <w:rsid w:val="00F94EB1"/>
    <w:rsid w:val="00F9543C"/>
    <w:rsid w:val="00F95589"/>
    <w:rsid w:val="00F962D2"/>
    <w:rsid w:val="00F96BC4"/>
    <w:rsid w:val="00F96C5F"/>
    <w:rsid w:val="00F96E51"/>
    <w:rsid w:val="00FA034C"/>
    <w:rsid w:val="00FA06C8"/>
    <w:rsid w:val="00FA09D2"/>
    <w:rsid w:val="00FA0AE8"/>
    <w:rsid w:val="00FA0C93"/>
    <w:rsid w:val="00FA0D50"/>
    <w:rsid w:val="00FA1267"/>
    <w:rsid w:val="00FA138A"/>
    <w:rsid w:val="00FA1546"/>
    <w:rsid w:val="00FA15B7"/>
    <w:rsid w:val="00FA1729"/>
    <w:rsid w:val="00FA19A5"/>
    <w:rsid w:val="00FA1A6C"/>
    <w:rsid w:val="00FA1C2A"/>
    <w:rsid w:val="00FA1EFA"/>
    <w:rsid w:val="00FA2413"/>
    <w:rsid w:val="00FA25DE"/>
    <w:rsid w:val="00FA27E5"/>
    <w:rsid w:val="00FA2CA8"/>
    <w:rsid w:val="00FA3668"/>
    <w:rsid w:val="00FA37C7"/>
    <w:rsid w:val="00FA3934"/>
    <w:rsid w:val="00FA4DA7"/>
    <w:rsid w:val="00FA4DCA"/>
    <w:rsid w:val="00FA4E35"/>
    <w:rsid w:val="00FA5459"/>
    <w:rsid w:val="00FA5B2D"/>
    <w:rsid w:val="00FA5EFC"/>
    <w:rsid w:val="00FA66D8"/>
    <w:rsid w:val="00FA6D3F"/>
    <w:rsid w:val="00FA6F87"/>
    <w:rsid w:val="00FA7CBE"/>
    <w:rsid w:val="00FA7EEF"/>
    <w:rsid w:val="00FB012C"/>
    <w:rsid w:val="00FB0147"/>
    <w:rsid w:val="00FB0307"/>
    <w:rsid w:val="00FB0431"/>
    <w:rsid w:val="00FB0799"/>
    <w:rsid w:val="00FB090B"/>
    <w:rsid w:val="00FB169B"/>
    <w:rsid w:val="00FB1B31"/>
    <w:rsid w:val="00FB1B3E"/>
    <w:rsid w:val="00FB26B5"/>
    <w:rsid w:val="00FB356E"/>
    <w:rsid w:val="00FB3DAD"/>
    <w:rsid w:val="00FB4504"/>
    <w:rsid w:val="00FB495C"/>
    <w:rsid w:val="00FB4C05"/>
    <w:rsid w:val="00FB4D03"/>
    <w:rsid w:val="00FB4DC6"/>
    <w:rsid w:val="00FB53D1"/>
    <w:rsid w:val="00FB5C42"/>
    <w:rsid w:val="00FB5F5F"/>
    <w:rsid w:val="00FB6223"/>
    <w:rsid w:val="00FB622C"/>
    <w:rsid w:val="00FB6241"/>
    <w:rsid w:val="00FB6392"/>
    <w:rsid w:val="00FB6457"/>
    <w:rsid w:val="00FB64D1"/>
    <w:rsid w:val="00FB6CAC"/>
    <w:rsid w:val="00FB7BBB"/>
    <w:rsid w:val="00FB7F2E"/>
    <w:rsid w:val="00FC060E"/>
    <w:rsid w:val="00FC075C"/>
    <w:rsid w:val="00FC0B4E"/>
    <w:rsid w:val="00FC0C72"/>
    <w:rsid w:val="00FC0DDE"/>
    <w:rsid w:val="00FC15BC"/>
    <w:rsid w:val="00FC16C8"/>
    <w:rsid w:val="00FC1A97"/>
    <w:rsid w:val="00FC2172"/>
    <w:rsid w:val="00FC217B"/>
    <w:rsid w:val="00FC2325"/>
    <w:rsid w:val="00FC23E2"/>
    <w:rsid w:val="00FC249C"/>
    <w:rsid w:val="00FC25AF"/>
    <w:rsid w:val="00FC2A74"/>
    <w:rsid w:val="00FC2EAF"/>
    <w:rsid w:val="00FC2EC8"/>
    <w:rsid w:val="00FC340B"/>
    <w:rsid w:val="00FC36C9"/>
    <w:rsid w:val="00FC3A84"/>
    <w:rsid w:val="00FC3BB7"/>
    <w:rsid w:val="00FC3E20"/>
    <w:rsid w:val="00FC4B98"/>
    <w:rsid w:val="00FC4D77"/>
    <w:rsid w:val="00FC5352"/>
    <w:rsid w:val="00FC553B"/>
    <w:rsid w:val="00FC59BC"/>
    <w:rsid w:val="00FC5B55"/>
    <w:rsid w:val="00FC5C97"/>
    <w:rsid w:val="00FC6B7E"/>
    <w:rsid w:val="00FC6BB2"/>
    <w:rsid w:val="00FC6E0F"/>
    <w:rsid w:val="00FC6EBB"/>
    <w:rsid w:val="00FC78DA"/>
    <w:rsid w:val="00FC7C5C"/>
    <w:rsid w:val="00FC7C98"/>
    <w:rsid w:val="00FC7CE1"/>
    <w:rsid w:val="00FC7CEB"/>
    <w:rsid w:val="00FC7FF9"/>
    <w:rsid w:val="00FD01CC"/>
    <w:rsid w:val="00FD08B1"/>
    <w:rsid w:val="00FD0A2E"/>
    <w:rsid w:val="00FD0B4D"/>
    <w:rsid w:val="00FD1584"/>
    <w:rsid w:val="00FD17F6"/>
    <w:rsid w:val="00FD19B7"/>
    <w:rsid w:val="00FD1E5F"/>
    <w:rsid w:val="00FD232A"/>
    <w:rsid w:val="00FD264C"/>
    <w:rsid w:val="00FD29C7"/>
    <w:rsid w:val="00FD2A14"/>
    <w:rsid w:val="00FD2CDB"/>
    <w:rsid w:val="00FD2D78"/>
    <w:rsid w:val="00FD2F8B"/>
    <w:rsid w:val="00FD3335"/>
    <w:rsid w:val="00FD37C7"/>
    <w:rsid w:val="00FD3FDB"/>
    <w:rsid w:val="00FD42AD"/>
    <w:rsid w:val="00FD4552"/>
    <w:rsid w:val="00FD4ADE"/>
    <w:rsid w:val="00FD5043"/>
    <w:rsid w:val="00FD515C"/>
    <w:rsid w:val="00FD52D4"/>
    <w:rsid w:val="00FD538D"/>
    <w:rsid w:val="00FD53F8"/>
    <w:rsid w:val="00FD568D"/>
    <w:rsid w:val="00FD5A71"/>
    <w:rsid w:val="00FD5FEC"/>
    <w:rsid w:val="00FD642B"/>
    <w:rsid w:val="00FD6432"/>
    <w:rsid w:val="00FD6B32"/>
    <w:rsid w:val="00FD71FA"/>
    <w:rsid w:val="00FD7535"/>
    <w:rsid w:val="00FD7646"/>
    <w:rsid w:val="00FD79DE"/>
    <w:rsid w:val="00FD7B38"/>
    <w:rsid w:val="00FD7EA7"/>
    <w:rsid w:val="00FD7F51"/>
    <w:rsid w:val="00FE07E2"/>
    <w:rsid w:val="00FE0E23"/>
    <w:rsid w:val="00FE0F8A"/>
    <w:rsid w:val="00FE1783"/>
    <w:rsid w:val="00FE1C39"/>
    <w:rsid w:val="00FE21C2"/>
    <w:rsid w:val="00FE263B"/>
    <w:rsid w:val="00FE26E6"/>
    <w:rsid w:val="00FE353A"/>
    <w:rsid w:val="00FE3880"/>
    <w:rsid w:val="00FE4394"/>
    <w:rsid w:val="00FE4466"/>
    <w:rsid w:val="00FE4934"/>
    <w:rsid w:val="00FE582A"/>
    <w:rsid w:val="00FE5B23"/>
    <w:rsid w:val="00FE6190"/>
    <w:rsid w:val="00FE6F0E"/>
    <w:rsid w:val="00FE713F"/>
    <w:rsid w:val="00FE72D3"/>
    <w:rsid w:val="00FE7503"/>
    <w:rsid w:val="00FE762E"/>
    <w:rsid w:val="00FE76E6"/>
    <w:rsid w:val="00FE7E49"/>
    <w:rsid w:val="00FF03B9"/>
    <w:rsid w:val="00FF0626"/>
    <w:rsid w:val="00FF0722"/>
    <w:rsid w:val="00FF0BEF"/>
    <w:rsid w:val="00FF149C"/>
    <w:rsid w:val="00FF18A3"/>
    <w:rsid w:val="00FF28EB"/>
    <w:rsid w:val="00FF370A"/>
    <w:rsid w:val="00FF4146"/>
    <w:rsid w:val="00FF4279"/>
    <w:rsid w:val="00FF42A3"/>
    <w:rsid w:val="00FF433C"/>
    <w:rsid w:val="00FF435C"/>
    <w:rsid w:val="00FF4608"/>
    <w:rsid w:val="00FF4853"/>
    <w:rsid w:val="00FF4F1D"/>
    <w:rsid w:val="00FF52E3"/>
    <w:rsid w:val="00FF550A"/>
    <w:rsid w:val="00FF5A55"/>
    <w:rsid w:val="00FF5F36"/>
    <w:rsid w:val="00FF612E"/>
    <w:rsid w:val="00FF6D27"/>
    <w:rsid w:val="00FF6FF6"/>
    <w:rsid w:val="00FF72C7"/>
    <w:rsid w:val="00FF73EE"/>
    <w:rsid w:val="00FF75D8"/>
    <w:rsid w:val="00FF7B34"/>
    <w:rsid w:val="00FF7D4E"/>
    <w:rsid w:val="00FF7DB9"/>
    <w:rsid w:val="03B3BEE4"/>
    <w:rsid w:val="0700488D"/>
    <w:rsid w:val="0C8E2912"/>
    <w:rsid w:val="0D43A8D4"/>
    <w:rsid w:val="0E62D06C"/>
    <w:rsid w:val="104CEF20"/>
    <w:rsid w:val="114747DC"/>
    <w:rsid w:val="152059FD"/>
    <w:rsid w:val="15F3C969"/>
    <w:rsid w:val="160E0983"/>
    <w:rsid w:val="16883F1E"/>
    <w:rsid w:val="188B5A59"/>
    <w:rsid w:val="1A9924A4"/>
    <w:rsid w:val="1D3D8E79"/>
    <w:rsid w:val="2046781F"/>
    <w:rsid w:val="206C6836"/>
    <w:rsid w:val="220ECF50"/>
    <w:rsid w:val="24E2A354"/>
    <w:rsid w:val="258AFA95"/>
    <w:rsid w:val="25CAE72B"/>
    <w:rsid w:val="26CAD7AE"/>
    <w:rsid w:val="29D03664"/>
    <w:rsid w:val="29EBF0E9"/>
    <w:rsid w:val="2A1C6E33"/>
    <w:rsid w:val="2CA13C4D"/>
    <w:rsid w:val="2CD17335"/>
    <w:rsid w:val="2DBB7F88"/>
    <w:rsid w:val="2EEC9D0E"/>
    <w:rsid w:val="300BF92D"/>
    <w:rsid w:val="30927F1C"/>
    <w:rsid w:val="31C6B7BA"/>
    <w:rsid w:val="3542275F"/>
    <w:rsid w:val="3598124F"/>
    <w:rsid w:val="36337B1C"/>
    <w:rsid w:val="36713FDA"/>
    <w:rsid w:val="389E9B85"/>
    <w:rsid w:val="38CC15F6"/>
    <w:rsid w:val="38D9FEB5"/>
    <w:rsid w:val="3976644A"/>
    <w:rsid w:val="3A0120AE"/>
    <w:rsid w:val="3D389C37"/>
    <w:rsid w:val="41CBA3E1"/>
    <w:rsid w:val="4262DBEE"/>
    <w:rsid w:val="42B8B375"/>
    <w:rsid w:val="48E85199"/>
    <w:rsid w:val="4949716C"/>
    <w:rsid w:val="49B21B84"/>
    <w:rsid w:val="4A05AAFD"/>
    <w:rsid w:val="4A115F23"/>
    <w:rsid w:val="4BEEE381"/>
    <w:rsid w:val="4E25DC38"/>
    <w:rsid w:val="4E273A3F"/>
    <w:rsid w:val="4E872F3B"/>
    <w:rsid w:val="4EAB6110"/>
    <w:rsid w:val="4FF02062"/>
    <w:rsid w:val="5292FCC6"/>
    <w:rsid w:val="52DE7C50"/>
    <w:rsid w:val="54273C41"/>
    <w:rsid w:val="554F95EA"/>
    <w:rsid w:val="56E2F9C6"/>
    <w:rsid w:val="570B51FA"/>
    <w:rsid w:val="58D3F24E"/>
    <w:rsid w:val="59579906"/>
    <w:rsid w:val="59789BC1"/>
    <w:rsid w:val="5BC2E822"/>
    <w:rsid w:val="5C984316"/>
    <w:rsid w:val="5D9F639F"/>
    <w:rsid w:val="604C920F"/>
    <w:rsid w:val="604E8872"/>
    <w:rsid w:val="629E441C"/>
    <w:rsid w:val="62F1BA75"/>
    <w:rsid w:val="636C23EA"/>
    <w:rsid w:val="651F8B87"/>
    <w:rsid w:val="67EAF954"/>
    <w:rsid w:val="6B552FED"/>
    <w:rsid w:val="6C85AA5D"/>
    <w:rsid w:val="6D110EFB"/>
    <w:rsid w:val="72D34BC9"/>
    <w:rsid w:val="73E50896"/>
    <w:rsid w:val="75828AE8"/>
    <w:rsid w:val="76C3412D"/>
    <w:rsid w:val="7A2C7749"/>
    <w:rsid w:val="7A90B072"/>
    <w:rsid w:val="7B1EE391"/>
    <w:rsid w:val="7BA681A6"/>
    <w:rsid w:val="7E6201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D9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4B"/>
  </w:style>
  <w:style w:type="paragraph" w:styleId="Heading1">
    <w:name w:val="heading 1"/>
    <w:basedOn w:val="Normal"/>
    <w:next w:val="Normal"/>
    <w:link w:val="Heading1Char"/>
    <w:uiPriority w:val="9"/>
    <w:qFormat/>
    <w:rsid w:val="00541F7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399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58E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58E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58E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58E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158E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158E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58E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SHEADER2">
    <w:name w:val="ETS_HEADER_2"/>
    <w:basedOn w:val="Heading2"/>
    <w:next w:val="Normal"/>
    <w:link w:val="ETSHEADER2CharChar"/>
    <w:autoRedefine/>
    <w:qFormat/>
    <w:rsid w:val="00B03998"/>
    <w:pPr>
      <w:keepLines w:val="0"/>
      <w:spacing w:before="240" w:after="60" w:line="240" w:lineRule="auto"/>
      <w:ind w:left="1276" w:hanging="1276"/>
    </w:pPr>
    <w:rPr>
      <w:rFonts w:ascii="Arial" w:eastAsia="Times New Roman" w:hAnsi="Arial" w:cs="Arial"/>
      <w:bCs/>
      <w:i/>
      <w:iCs/>
      <w:color w:val="auto"/>
      <w:sz w:val="32"/>
      <w:szCs w:val="32"/>
    </w:rPr>
  </w:style>
  <w:style w:type="character" w:customStyle="1" w:styleId="ETSHEADER2CharChar">
    <w:name w:val="ETS_HEADER_2 Char Char"/>
    <w:link w:val="ETSHEADER2"/>
    <w:rsid w:val="00B03998"/>
    <w:rPr>
      <w:rFonts w:ascii="Arial" w:eastAsia="Times New Roman" w:hAnsi="Arial" w:cs="Arial"/>
      <w:bCs/>
      <w:i/>
      <w:iCs/>
      <w:sz w:val="32"/>
      <w:szCs w:val="32"/>
    </w:rPr>
  </w:style>
  <w:style w:type="paragraph" w:customStyle="1" w:styleId="ETSNORMAL10pt">
    <w:name w:val="ETS_NORMAL_10pt"/>
    <w:basedOn w:val="Normal"/>
    <w:link w:val="ETSNORMAL10ptChar"/>
    <w:qFormat/>
    <w:rsid w:val="00B03998"/>
    <w:pPr>
      <w:spacing w:after="0" w:line="240" w:lineRule="auto"/>
      <w:ind w:left="-993"/>
    </w:pPr>
    <w:rPr>
      <w:rFonts w:ascii="Arial" w:eastAsia="Times New Roman" w:hAnsi="Arial" w:cs="Times New Roman"/>
      <w:sz w:val="20"/>
      <w:szCs w:val="24"/>
      <w:lang w:val="en-US"/>
    </w:rPr>
  </w:style>
  <w:style w:type="character" w:customStyle="1" w:styleId="ETSNORMAL10ptChar">
    <w:name w:val="ETS_NORMAL_10pt Char"/>
    <w:link w:val="ETSNORMAL10pt"/>
    <w:rsid w:val="00B03998"/>
    <w:rPr>
      <w:rFonts w:ascii="Arial" w:eastAsia="Times New Roman" w:hAnsi="Arial" w:cs="Times New Roman"/>
      <w:sz w:val="20"/>
      <w:szCs w:val="24"/>
      <w:lang w:val="en-US"/>
    </w:rPr>
  </w:style>
  <w:style w:type="character" w:customStyle="1" w:styleId="Heading2Char">
    <w:name w:val="Heading 2 Char"/>
    <w:basedOn w:val="DefaultParagraphFont"/>
    <w:link w:val="Heading2"/>
    <w:uiPriority w:val="9"/>
    <w:rsid w:val="00B03998"/>
    <w:rPr>
      <w:rFonts w:asciiTheme="majorHAnsi" w:eastAsiaTheme="majorEastAsia" w:hAnsiTheme="majorHAnsi" w:cstheme="majorBidi"/>
      <w:color w:val="2E74B5" w:themeColor="accent1" w:themeShade="BF"/>
      <w:sz w:val="26"/>
      <w:szCs w:val="26"/>
    </w:rPr>
  </w:style>
  <w:style w:type="paragraph" w:customStyle="1" w:styleId="ETSNORMAL12pt">
    <w:name w:val="ETS_NORMAL_12pt"/>
    <w:basedOn w:val="Normal"/>
    <w:link w:val="ETSNORMAL12ptCharChar"/>
    <w:qFormat/>
    <w:rsid w:val="00B03998"/>
    <w:pPr>
      <w:shd w:val="clear" w:color="auto" w:fill="FFFFFF"/>
      <w:spacing w:after="0" w:line="240" w:lineRule="auto"/>
      <w:ind w:left="-567"/>
      <w:jc w:val="both"/>
    </w:pPr>
    <w:rPr>
      <w:rFonts w:ascii="Arial" w:eastAsia="Times New Roman" w:hAnsi="Arial" w:cs="Times New Roman"/>
      <w:snapToGrid w:val="0"/>
      <w:sz w:val="24"/>
      <w:szCs w:val="24"/>
    </w:rPr>
  </w:style>
  <w:style w:type="character" w:customStyle="1" w:styleId="ETSNORMAL12ptCharChar">
    <w:name w:val="ETS_NORMAL_12pt Char Char"/>
    <w:link w:val="ETSNORMAL12pt"/>
    <w:rsid w:val="00B03998"/>
    <w:rPr>
      <w:rFonts w:ascii="Arial" w:eastAsia="Times New Roman" w:hAnsi="Arial" w:cs="Times New Roman"/>
      <w:snapToGrid w:val="0"/>
      <w:sz w:val="24"/>
      <w:szCs w:val="24"/>
      <w:shd w:val="clear" w:color="auto" w:fill="FFFFFF"/>
    </w:rPr>
  </w:style>
  <w:style w:type="paragraph" w:customStyle="1" w:styleId="ETSNORMAL8pt">
    <w:name w:val="ETS_NORMAL_8pt"/>
    <w:basedOn w:val="Normal"/>
    <w:qFormat/>
    <w:rsid w:val="00B03998"/>
    <w:pPr>
      <w:spacing w:after="0" w:line="240" w:lineRule="auto"/>
    </w:pPr>
    <w:rPr>
      <w:rFonts w:ascii="Arial" w:eastAsia="Times New Roman" w:hAnsi="Arial" w:cs="Times New Roman"/>
      <w:sz w:val="16"/>
      <w:szCs w:val="24"/>
    </w:rPr>
  </w:style>
  <w:style w:type="character" w:customStyle="1" w:styleId="Heading1Char">
    <w:name w:val="Heading 1 Char"/>
    <w:basedOn w:val="DefaultParagraphFont"/>
    <w:link w:val="Heading1"/>
    <w:uiPriority w:val="9"/>
    <w:rsid w:val="00541F7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58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158E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158E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158E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158E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158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58EA"/>
    <w:rPr>
      <w:rFonts w:asciiTheme="majorHAnsi" w:eastAsiaTheme="majorEastAsia" w:hAnsiTheme="majorHAnsi" w:cstheme="majorBidi"/>
      <w:i/>
      <w:iCs/>
      <w:color w:val="272727" w:themeColor="text1" w:themeTint="D8"/>
      <w:sz w:val="21"/>
      <w:szCs w:val="21"/>
    </w:rPr>
  </w:style>
  <w:style w:type="paragraph" w:styleId="ListParagraph">
    <w:name w:val="List Paragraph"/>
    <w:aliases w:val="Paragraphe EI,Paragraphe de liste1,EC,Colorful List Accent 1,Paragraphe de liste11,Liste couleur - Accent 11,Paragraphe de liste2,RUS List,Issue Action POC,List Paragraph1,3,POCG Table Text,Dot pt,F5 List Paragraph,Indicator Text,Bullet 1"/>
    <w:basedOn w:val="Normal"/>
    <w:link w:val="ListParagraphChar"/>
    <w:uiPriority w:val="34"/>
    <w:qFormat/>
    <w:rsid w:val="00F83536"/>
    <w:pPr>
      <w:ind w:left="720"/>
      <w:contextualSpacing/>
    </w:pPr>
  </w:style>
  <w:style w:type="table" w:styleId="TableGrid">
    <w:name w:val="Table Grid"/>
    <w:basedOn w:val="TableNormal"/>
    <w:uiPriority w:val="39"/>
    <w:rsid w:val="0077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F7F6A"/>
    <w:pPr>
      <w:numPr>
        <w:numId w:val="0"/>
      </w:numPr>
      <w:outlineLvl w:val="9"/>
    </w:pPr>
    <w:rPr>
      <w:lang w:val="en-US"/>
    </w:rPr>
  </w:style>
  <w:style w:type="paragraph" w:styleId="TOC1">
    <w:name w:val="toc 1"/>
    <w:basedOn w:val="Normal"/>
    <w:next w:val="Normal"/>
    <w:autoRedefine/>
    <w:uiPriority w:val="39"/>
    <w:unhideWhenUsed/>
    <w:rsid w:val="00975DD4"/>
    <w:pPr>
      <w:tabs>
        <w:tab w:val="left" w:pos="440"/>
        <w:tab w:val="right" w:leader="dot" w:pos="9016"/>
      </w:tabs>
      <w:spacing w:after="100"/>
    </w:pPr>
  </w:style>
  <w:style w:type="paragraph" w:styleId="TOC2">
    <w:name w:val="toc 2"/>
    <w:basedOn w:val="Normal"/>
    <w:next w:val="Normal"/>
    <w:autoRedefine/>
    <w:uiPriority w:val="39"/>
    <w:unhideWhenUsed/>
    <w:rsid w:val="003D1857"/>
    <w:pPr>
      <w:tabs>
        <w:tab w:val="left" w:pos="880"/>
        <w:tab w:val="right" w:leader="dot" w:pos="9016"/>
      </w:tabs>
      <w:spacing w:after="100"/>
      <w:ind w:left="220"/>
    </w:pPr>
  </w:style>
  <w:style w:type="character" w:styleId="Hyperlink">
    <w:name w:val="Hyperlink"/>
    <w:basedOn w:val="DefaultParagraphFont"/>
    <w:uiPriority w:val="99"/>
    <w:unhideWhenUsed/>
    <w:rsid w:val="00DF7F6A"/>
    <w:rPr>
      <w:color w:val="0563C1" w:themeColor="hyperlink"/>
      <w:u w:val="single"/>
    </w:rPr>
  </w:style>
  <w:style w:type="paragraph" w:styleId="Header">
    <w:name w:val="header"/>
    <w:basedOn w:val="Normal"/>
    <w:link w:val="HeaderChar"/>
    <w:uiPriority w:val="99"/>
    <w:unhideWhenUsed/>
    <w:rsid w:val="0091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5D"/>
  </w:style>
  <w:style w:type="paragraph" w:styleId="Footer">
    <w:name w:val="footer"/>
    <w:basedOn w:val="Normal"/>
    <w:link w:val="FooterChar"/>
    <w:uiPriority w:val="99"/>
    <w:unhideWhenUsed/>
    <w:rsid w:val="0091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5D"/>
  </w:style>
  <w:style w:type="character" w:styleId="CommentReference">
    <w:name w:val="annotation reference"/>
    <w:basedOn w:val="DefaultParagraphFont"/>
    <w:uiPriority w:val="99"/>
    <w:semiHidden/>
    <w:unhideWhenUsed/>
    <w:rsid w:val="00D171F2"/>
    <w:rPr>
      <w:sz w:val="16"/>
      <w:szCs w:val="16"/>
    </w:rPr>
  </w:style>
  <w:style w:type="paragraph" w:styleId="CommentText">
    <w:name w:val="annotation text"/>
    <w:basedOn w:val="Normal"/>
    <w:link w:val="CommentTextChar"/>
    <w:uiPriority w:val="99"/>
    <w:unhideWhenUsed/>
    <w:rsid w:val="00D171F2"/>
    <w:pPr>
      <w:spacing w:line="240" w:lineRule="auto"/>
    </w:pPr>
    <w:rPr>
      <w:sz w:val="20"/>
      <w:szCs w:val="20"/>
    </w:rPr>
  </w:style>
  <w:style w:type="character" w:customStyle="1" w:styleId="CommentTextChar">
    <w:name w:val="Comment Text Char"/>
    <w:basedOn w:val="DefaultParagraphFont"/>
    <w:link w:val="CommentText"/>
    <w:uiPriority w:val="99"/>
    <w:rsid w:val="00D171F2"/>
    <w:rPr>
      <w:sz w:val="20"/>
      <w:szCs w:val="20"/>
    </w:rPr>
  </w:style>
  <w:style w:type="paragraph" w:styleId="CommentSubject">
    <w:name w:val="annotation subject"/>
    <w:basedOn w:val="CommentText"/>
    <w:next w:val="CommentText"/>
    <w:link w:val="CommentSubjectChar"/>
    <w:uiPriority w:val="99"/>
    <w:semiHidden/>
    <w:unhideWhenUsed/>
    <w:rsid w:val="00D171F2"/>
    <w:rPr>
      <w:b/>
      <w:bCs/>
    </w:rPr>
  </w:style>
  <w:style w:type="character" w:customStyle="1" w:styleId="CommentSubjectChar">
    <w:name w:val="Comment Subject Char"/>
    <w:basedOn w:val="CommentTextChar"/>
    <w:link w:val="CommentSubject"/>
    <w:uiPriority w:val="99"/>
    <w:semiHidden/>
    <w:rsid w:val="00D171F2"/>
    <w:rPr>
      <w:b/>
      <w:bCs/>
      <w:sz w:val="20"/>
      <w:szCs w:val="20"/>
    </w:rPr>
  </w:style>
  <w:style w:type="paragraph" w:styleId="BalloonText">
    <w:name w:val="Balloon Text"/>
    <w:basedOn w:val="Normal"/>
    <w:link w:val="BalloonTextChar"/>
    <w:uiPriority w:val="99"/>
    <w:semiHidden/>
    <w:unhideWhenUsed/>
    <w:rsid w:val="00D17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F2"/>
    <w:rPr>
      <w:rFonts w:ascii="Segoe UI" w:hAnsi="Segoe UI" w:cs="Segoe UI"/>
      <w:sz w:val="18"/>
      <w:szCs w:val="18"/>
    </w:rPr>
  </w:style>
  <w:style w:type="paragraph" w:styleId="TOC3">
    <w:name w:val="toc 3"/>
    <w:basedOn w:val="Normal"/>
    <w:next w:val="Normal"/>
    <w:autoRedefine/>
    <w:uiPriority w:val="39"/>
    <w:unhideWhenUsed/>
    <w:rsid w:val="00CB731A"/>
    <w:pPr>
      <w:tabs>
        <w:tab w:val="left" w:pos="1320"/>
        <w:tab w:val="right" w:leader="dot" w:pos="9016"/>
      </w:tabs>
      <w:spacing w:after="100"/>
      <w:ind w:left="440"/>
    </w:pPr>
  </w:style>
  <w:style w:type="table" w:customStyle="1" w:styleId="GridTable4-Accent31">
    <w:name w:val="Grid Table 4 - Accent 31"/>
    <w:basedOn w:val="TableNormal"/>
    <w:uiPriority w:val="49"/>
    <w:rsid w:val="00BB7B7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BB7B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2C6634"/>
    <w:pPr>
      <w:spacing w:after="0" w:line="240" w:lineRule="auto"/>
    </w:pPr>
    <w:rPr>
      <w:sz w:val="20"/>
      <w:szCs w:val="20"/>
    </w:rPr>
  </w:style>
  <w:style w:type="character" w:customStyle="1" w:styleId="FootnoteTextChar">
    <w:name w:val="Footnote Text Char"/>
    <w:basedOn w:val="DefaultParagraphFont"/>
    <w:link w:val="FootnoteText"/>
    <w:uiPriority w:val="99"/>
    <w:rsid w:val="002C6634"/>
    <w:rPr>
      <w:sz w:val="20"/>
      <w:szCs w:val="20"/>
    </w:rPr>
  </w:style>
  <w:style w:type="character" w:styleId="FootnoteReference">
    <w:name w:val="footnote reference"/>
    <w:basedOn w:val="DefaultParagraphFont"/>
    <w:uiPriority w:val="99"/>
    <w:semiHidden/>
    <w:unhideWhenUsed/>
    <w:rsid w:val="002C6634"/>
    <w:rPr>
      <w:vertAlign w:val="superscript"/>
    </w:rPr>
  </w:style>
  <w:style w:type="table" w:customStyle="1" w:styleId="GridTable42">
    <w:name w:val="Grid Table 42"/>
    <w:basedOn w:val="TableNormal"/>
    <w:uiPriority w:val="49"/>
    <w:rsid w:val="00B415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50553C"/>
    <w:rPr>
      <w:color w:val="954F72" w:themeColor="followedHyperlink"/>
      <w:u w:val="single"/>
    </w:rPr>
  </w:style>
  <w:style w:type="table" w:customStyle="1" w:styleId="GridTable421">
    <w:name w:val="Grid Table 421"/>
    <w:basedOn w:val="TableNormal"/>
    <w:uiPriority w:val="49"/>
    <w:rsid w:val="00325F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25F66"/>
    <w:pPr>
      <w:spacing w:after="0" w:line="240" w:lineRule="auto"/>
    </w:pPr>
  </w:style>
  <w:style w:type="table" w:styleId="GridTable5Dark-Accent3">
    <w:name w:val="Grid Table 5 Dark Accent 3"/>
    <w:basedOn w:val="TableNormal"/>
    <w:uiPriority w:val="50"/>
    <w:rsid w:val="00DA7B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070355"/>
    <w:rPr>
      <w:color w:val="808080"/>
    </w:rPr>
  </w:style>
  <w:style w:type="table" w:customStyle="1" w:styleId="GridTable5Dark-Accent31">
    <w:name w:val="Grid Table 5 Dark - Accent 31"/>
    <w:basedOn w:val="TableNormal"/>
    <w:uiPriority w:val="50"/>
    <w:rsid w:val="00EE2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dnoteText">
    <w:name w:val="endnote text"/>
    <w:basedOn w:val="Normal"/>
    <w:link w:val="EndnoteTextChar"/>
    <w:uiPriority w:val="99"/>
    <w:semiHidden/>
    <w:unhideWhenUsed/>
    <w:rsid w:val="00B126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67F"/>
    <w:rPr>
      <w:sz w:val="20"/>
      <w:szCs w:val="20"/>
    </w:rPr>
  </w:style>
  <w:style w:type="character" w:styleId="EndnoteReference">
    <w:name w:val="endnote reference"/>
    <w:basedOn w:val="DefaultParagraphFont"/>
    <w:uiPriority w:val="99"/>
    <w:semiHidden/>
    <w:unhideWhenUsed/>
    <w:rsid w:val="00B1267F"/>
    <w:rPr>
      <w:vertAlign w:val="superscript"/>
    </w:rPr>
  </w:style>
  <w:style w:type="table" w:styleId="GridTable5Dark-Accent5">
    <w:name w:val="Grid Table 5 Dark Accent 5"/>
    <w:basedOn w:val="TableNormal"/>
    <w:uiPriority w:val="50"/>
    <w:rsid w:val="00F730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Mention1">
    <w:name w:val="Mention1"/>
    <w:basedOn w:val="DefaultParagraphFont"/>
    <w:uiPriority w:val="99"/>
    <w:semiHidden/>
    <w:unhideWhenUsed/>
    <w:rsid w:val="008F07FF"/>
    <w:rPr>
      <w:color w:val="2B579A"/>
      <w:shd w:val="clear" w:color="auto" w:fill="E6E6E6"/>
    </w:rPr>
  </w:style>
  <w:style w:type="character" w:customStyle="1" w:styleId="UnresolvedMention1">
    <w:name w:val="Unresolved Mention1"/>
    <w:basedOn w:val="DefaultParagraphFont"/>
    <w:uiPriority w:val="99"/>
    <w:semiHidden/>
    <w:unhideWhenUsed/>
    <w:rsid w:val="00DC672A"/>
    <w:rPr>
      <w:color w:val="808080"/>
      <w:shd w:val="clear" w:color="auto" w:fill="E6E6E6"/>
    </w:rPr>
  </w:style>
  <w:style w:type="paragraph" w:styleId="NormalWeb">
    <w:name w:val="Normal (Web)"/>
    <w:basedOn w:val="Normal"/>
    <w:uiPriority w:val="99"/>
    <w:unhideWhenUsed/>
    <w:rsid w:val="00256E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6D7562"/>
  </w:style>
  <w:style w:type="table" w:styleId="GridTable4-Accent1">
    <w:name w:val="Grid Table 4 Accent 1"/>
    <w:basedOn w:val="TableNormal"/>
    <w:uiPriority w:val="49"/>
    <w:rsid w:val="009C34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2911C5"/>
    <w:pPr>
      <w:spacing w:after="0" w:line="240" w:lineRule="auto"/>
    </w:pPr>
    <w:rPr>
      <w:lang w:val="en-US"/>
    </w:rPr>
  </w:style>
  <w:style w:type="table" w:styleId="GridTable1Light-Accent5">
    <w:name w:val="Grid Table 1 Light Accent 5"/>
    <w:basedOn w:val="TableNormal"/>
    <w:uiPriority w:val="46"/>
    <w:rsid w:val="004C4FB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D2F8E"/>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IntenseReference">
    <w:name w:val="Intense Reference"/>
    <w:basedOn w:val="DefaultParagraphFont"/>
    <w:uiPriority w:val="32"/>
    <w:qFormat/>
    <w:rsid w:val="00BE7731"/>
    <w:rPr>
      <w:b/>
      <w:bCs/>
      <w:smallCaps/>
      <w:color w:val="5B9BD5" w:themeColor="accent1"/>
      <w:spacing w:val="5"/>
    </w:rPr>
  </w:style>
  <w:style w:type="paragraph" w:customStyle="1" w:styleId="xmsonormal">
    <w:name w:val="x_msonormal"/>
    <w:basedOn w:val="Normal"/>
    <w:rsid w:val="00CA16BF"/>
    <w:pPr>
      <w:spacing w:after="0" w:line="240" w:lineRule="auto"/>
    </w:pPr>
    <w:rPr>
      <w:rFonts w:ascii="Calibri" w:hAnsi="Calibri" w:cs="Calibri"/>
      <w:lang w:eastAsia="en-GB"/>
    </w:rPr>
  </w:style>
  <w:style w:type="paragraph" w:customStyle="1" w:styleId="paragraph">
    <w:name w:val="paragraph"/>
    <w:basedOn w:val="Normal"/>
    <w:rsid w:val="007B1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11FE"/>
  </w:style>
  <w:style w:type="character" w:customStyle="1" w:styleId="eop">
    <w:name w:val="eop"/>
    <w:basedOn w:val="DefaultParagraphFont"/>
    <w:rsid w:val="007B11FE"/>
  </w:style>
  <w:style w:type="character" w:customStyle="1" w:styleId="spellingerror">
    <w:name w:val="spellingerror"/>
    <w:basedOn w:val="DefaultParagraphFont"/>
    <w:rsid w:val="00B863DC"/>
  </w:style>
  <w:style w:type="character" w:customStyle="1" w:styleId="scxw45084214">
    <w:name w:val="scxw45084214"/>
    <w:basedOn w:val="DefaultParagraphFont"/>
    <w:rsid w:val="00B863DC"/>
  </w:style>
  <w:style w:type="character" w:customStyle="1" w:styleId="scxw124562383">
    <w:name w:val="scxw124562383"/>
    <w:basedOn w:val="DefaultParagraphFont"/>
    <w:rsid w:val="00A7262A"/>
  </w:style>
  <w:style w:type="character" w:customStyle="1" w:styleId="scxw231787790">
    <w:name w:val="scxw231787790"/>
    <w:basedOn w:val="DefaultParagraphFont"/>
    <w:rsid w:val="007E08BA"/>
  </w:style>
  <w:style w:type="character" w:customStyle="1" w:styleId="scxw59810726">
    <w:name w:val="scxw59810726"/>
    <w:basedOn w:val="DefaultParagraphFont"/>
    <w:rsid w:val="00EA3122"/>
  </w:style>
  <w:style w:type="table" w:styleId="GridTable6Colorful-Accent1">
    <w:name w:val="Grid Table 6 Colorful Accent 1"/>
    <w:basedOn w:val="TableNormal"/>
    <w:uiPriority w:val="51"/>
    <w:rsid w:val="001401C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1401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543A6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0B4A18"/>
    <w:rPr>
      <w:color w:val="605E5C"/>
      <w:shd w:val="clear" w:color="auto" w:fill="E1DFDD"/>
    </w:rPr>
  </w:style>
  <w:style w:type="paragraph" w:styleId="Caption">
    <w:name w:val="caption"/>
    <w:basedOn w:val="Normal"/>
    <w:next w:val="Normal"/>
    <w:uiPriority w:val="35"/>
    <w:unhideWhenUsed/>
    <w:qFormat/>
    <w:rsid w:val="002D6387"/>
    <w:pPr>
      <w:spacing w:after="200" w:line="240" w:lineRule="auto"/>
    </w:pPr>
    <w:rPr>
      <w:i/>
      <w:iCs/>
      <w:color w:val="44546A" w:themeColor="text2"/>
      <w:sz w:val="18"/>
      <w:szCs w:val="18"/>
    </w:rPr>
  </w:style>
  <w:style w:type="character" w:styleId="Strong">
    <w:name w:val="Strong"/>
    <w:basedOn w:val="DefaultParagraphFont"/>
    <w:uiPriority w:val="22"/>
    <w:qFormat/>
    <w:rsid w:val="008934CB"/>
    <w:rPr>
      <w:b/>
      <w:bCs/>
    </w:rPr>
  </w:style>
  <w:style w:type="character" w:customStyle="1" w:styleId="hgkelc">
    <w:name w:val="hgkelc"/>
    <w:basedOn w:val="DefaultParagraphFont"/>
    <w:rsid w:val="001E25CC"/>
  </w:style>
  <w:style w:type="character" w:customStyle="1" w:styleId="acopre">
    <w:name w:val="acopre"/>
    <w:basedOn w:val="DefaultParagraphFont"/>
    <w:rsid w:val="001E25CC"/>
  </w:style>
  <w:style w:type="paragraph" w:customStyle="1" w:styleId="TableText">
    <w:name w:val="Table Text"/>
    <w:basedOn w:val="Normal"/>
    <w:link w:val="TableTextChar"/>
    <w:qFormat/>
    <w:rsid w:val="00850047"/>
    <w:pPr>
      <w:keepNext/>
      <w:keepLines/>
      <w:spacing w:before="60" w:after="0" w:line="240" w:lineRule="auto"/>
    </w:pPr>
    <w:rPr>
      <w:rFonts w:eastAsiaTheme="minorEastAsia"/>
      <w:bCs/>
      <w:sz w:val="18"/>
      <w:szCs w:val="21"/>
      <w:lang w:val="en-US" w:eastAsia="ja-JP"/>
    </w:rPr>
  </w:style>
  <w:style w:type="character" w:customStyle="1" w:styleId="TableTextChar">
    <w:name w:val="Table Text Char"/>
    <w:basedOn w:val="DefaultParagraphFont"/>
    <w:link w:val="TableText"/>
    <w:rsid w:val="00850047"/>
    <w:rPr>
      <w:rFonts w:eastAsiaTheme="minorEastAsia"/>
      <w:bCs/>
      <w:sz w:val="18"/>
      <w:szCs w:val="21"/>
      <w:lang w:val="en-US" w:eastAsia="ja-JP"/>
    </w:rPr>
  </w:style>
  <w:style w:type="character" w:styleId="Mention">
    <w:name w:val="Mention"/>
    <w:basedOn w:val="DefaultParagraphFont"/>
    <w:uiPriority w:val="99"/>
    <w:unhideWhenUsed/>
    <w:rsid w:val="00B95FCB"/>
    <w:rPr>
      <w:color w:val="2B579A"/>
      <w:shd w:val="clear" w:color="auto" w:fill="E1DFDD"/>
    </w:rPr>
  </w:style>
  <w:style w:type="paragraph" w:customStyle="1" w:styleId="Default">
    <w:name w:val="Default"/>
    <w:rsid w:val="00185AC3"/>
    <w:pPr>
      <w:autoSpaceDE w:val="0"/>
      <w:autoSpaceDN w:val="0"/>
      <w:adjustRightInd w:val="0"/>
      <w:spacing w:after="0" w:line="240" w:lineRule="auto"/>
    </w:pPr>
    <w:rPr>
      <w:rFonts w:ascii="Calibri" w:eastAsiaTheme="minorEastAsia" w:hAnsi="Calibri" w:cs="Calibri"/>
      <w:color w:val="000000"/>
      <w:sz w:val="24"/>
      <w:szCs w:val="24"/>
      <w:lang w:val="en-US"/>
    </w:rPr>
  </w:style>
  <w:style w:type="paragraph" w:customStyle="1" w:styleId="TableParagraph">
    <w:name w:val="Table Paragraph"/>
    <w:basedOn w:val="Normal"/>
    <w:uiPriority w:val="1"/>
    <w:qFormat/>
    <w:rsid w:val="00185AC3"/>
    <w:pPr>
      <w:autoSpaceDE w:val="0"/>
      <w:autoSpaceDN w:val="0"/>
      <w:adjustRightInd w:val="0"/>
      <w:spacing w:before="54" w:after="0" w:line="240" w:lineRule="auto"/>
      <w:ind w:left="57"/>
    </w:pPr>
    <w:rPr>
      <w:rFonts w:ascii="Calibri" w:eastAsiaTheme="minorEastAsia" w:hAnsi="Calibri" w:cs="Calibri"/>
      <w:sz w:val="24"/>
      <w:szCs w:val="24"/>
      <w:lang w:val="en-US"/>
    </w:rPr>
  </w:style>
  <w:style w:type="paragraph" w:customStyle="1" w:styleId="CommitteeName">
    <w:name w:val="CommitteeName"/>
    <w:basedOn w:val="Normal"/>
    <w:rsid w:val="00185AC3"/>
    <w:pPr>
      <w:spacing w:after="0" w:line="240" w:lineRule="auto"/>
    </w:pPr>
    <w:rPr>
      <w:rFonts w:ascii="Times New Roman" w:eastAsia="MS Mincho" w:hAnsi="Times New Roman" w:cs="Arial"/>
      <w:caps/>
      <w:spacing w:val="30"/>
      <w:sz w:val="14"/>
      <w:szCs w:val="14"/>
    </w:rPr>
  </w:style>
  <w:style w:type="paragraph" w:customStyle="1" w:styleId="ReportDate">
    <w:name w:val="ReportDate"/>
    <w:basedOn w:val="Normal"/>
    <w:rsid w:val="00185AC3"/>
    <w:pPr>
      <w:spacing w:after="600" w:line="300" w:lineRule="exact"/>
      <w:jc w:val="right"/>
    </w:pPr>
    <w:rPr>
      <w:rFonts w:ascii="Times New Roman" w:eastAsia="MS Mincho" w:hAnsi="Times New Roman" w:cs="Arial"/>
      <w:sz w:val="24"/>
      <w:szCs w:val="24"/>
    </w:rPr>
  </w:style>
  <w:style w:type="character" w:customStyle="1" w:styleId="ListParagraphChar">
    <w:name w:val="List Paragraph Char"/>
    <w:aliases w:val="Paragraphe EI Char,Paragraphe de liste1 Char,EC Char,Colorful List Accent 1 Char,Paragraphe de liste11 Char,Liste couleur - Accent 11 Char,Paragraphe de liste2 Char,RUS List Char,Issue Action POC Char,List Paragraph1 Char,3 Char"/>
    <w:basedOn w:val="DefaultParagraphFont"/>
    <w:link w:val="ListParagraph"/>
    <w:uiPriority w:val="34"/>
    <w:qFormat/>
    <w:locked/>
    <w:rsid w:val="00185AC3"/>
  </w:style>
  <w:style w:type="character" w:customStyle="1" w:styleId="UnresolvedMention2">
    <w:name w:val="Unresolved Mention2"/>
    <w:basedOn w:val="DefaultParagraphFont"/>
    <w:uiPriority w:val="99"/>
    <w:unhideWhenUsed/>
    <w:rsid w:val="00185AC3"/>
    <w:rPr>
      <w:color w:val="605E5C"/>
      <w:shd w:val="clear" w:color="auto" w:fill="E1DFDD"/>
    </w:rPr>
  </w:style>
  <w:style w:type="character" w:customStyle="1" w:styleId="Mention2">
    <w:name w:val="Mention2"/>
    <w:basedOn w:val="DefaultParagraphFont"/>
    <w:uiPriority w:val="99"/>
    <w:unhideWhenUsed/>
    <w:rsid w:val="00185A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313">
      <w:bodyDiv w:val="1"/>
      <w:marLeft w:val="0"/>
      <w:marRight w:val="0"/>
      <w:marTop w:val="0"/>
      <w:marBottom w:val="0"/>
      <w:divBdr>
        <w:top w:val="none" w:sz="0" w:space="0" w:color="auto"/>
        <w:left w:val="none" w:sz="0" w:space="0" w:color="auto"/>
        <w:bottom w:val="none" w:sz="0" w:space="0" w:color="auto"/>
        <w:right w:val="none" w:sz="0" w:space="0" w:color="auto"/>
      </w:divBdr>
      <w:divsChild>
        <w:div w:id="1333218893">
          <w:marLeft w:val="0"/>
          <w:marRight w:val="0"/>
          <w:marTop w:val="0"/>
          <w:marBottom w:val="0"/>
          <w:divBdr>
            <w:top w:val="none" w:sz="0" w:space="0" w:color="auto"/>
            <w:left w:val="none" w:sz="0" w:space="0" w:color="auto"/>
            <w:bottom w:val="none" w:sz="0" w:space="0" w:color="auto"/>
            <w:right w:val="none" w:sz="0" w:space="0" w:color="auto"/>
          </w:divBdr>
          <w:divsChild>
            <w:div w:id="6838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335">
      <w:bodyDiv w:val="1"/>
      <w:marLeft w:val="0"/>
      <w:marRight w:val="0"/>
      <w:marTop w:val="0"/>
      <w:marBottom w:val="0"/>
      <w:divBdr>
        <w:top w:val="none" w:sz="0" w:space="0" w:color="auto"/>
        <w:left w:val="none" w:sz="0" w:space="0" w:color="auto"/>
        <w:bottom w:val="none" w:sz="0" w:space="0" w:color="auto"/>
        <w:right w:val="none" w:sz="0" w:space="0" w:color="auto"/>
      </w:divBdr>
    </w:div>
    <w:div w:id="20668994">
      <w:bodyDiv w:val="1"/>
      <w:marLeft w:val="0"/>
      <w:marRight w:val="0"/>
      <w:marTop w:val="0"/>
      <w:marBottom w:val="0"/>
      <w:divBdr>
        <w:top w:val="none" w:sz="0" w:space="0" w:color="auto"/>
        <w:left w:val="none" w:sz="0" w:space="0" w:color="auto"/>
        <w:bottom w:val="none" w:sz="0" w:space="0" w:color="auto"/>
        <w:right w:val="none" w:sz="0" w:space="0" w:color="auto"/>
      </w:divBdr>
    </w:div>
    <w:div w:id="24063460">
      <w:bodyDiv w:val="1"/>
      <w:marLeft w:val="0"/>
      <w:marRight w:val="0"/>
      <w:marTop w:val="0"/>
      <w:marBottom w:val="0"/>
      <w:divBdr>
        <w:top w:val="none" w:sz="0" w:space="0" w:color="auto"/>
        <w:left w:val="none" w:sz="0" w:space="0" w:color="auto"/>
        <w:bottom w:val="none" w:sz="0" w:space="0" w:color="auto"/>
        <w:right w:val="none" w:sz="0" w:space="0" w:color="auto"/>
      </w:divBdr>
    </w:div>
    <w:div w:id="39400009">
      <w:bodyDiv w:val="1"/>
      <w:marLeft w:val="0"/>
      <w:marRight w:val="0"/>
      <w:marTop w:val="0"/>
      <w:marBottom w:val="0"/>
      <w:divBdr>
        <w:top w:val="none" w:sz="0" w:space="0" w:color="auto"/>
        <w:left w:val="none" w:sz="0" w:space="0" w:color="auto"/>
        <w:bottom w:val="none" w:sz="0" w:space="0" w:color="auto"/>
        <w:right w:val="none" w:sz="0" w:space="0" w:color="auto"/>
      </w:divBdr>
    </w:div>
    <w:div w:id="53892602">
      <w:bodyDiv w:val="1"/>
      <w:marLeft w:val="0"/>
      <w:marRight w:val="0"/>
      <w:marTop w:val="0"/>
      <w:marBottom w:val="0"/>
      <w:divBdr>
        <w:top w:val="none" w:sz="0" w:space="0" w:color="auto"/>
        <w:left w:val="none" w:sz="0" w:space="0" w:color="auto"/>
        <w:bottom w:val="none" w:sz="0" w:space="0" w:color="auto"/>
        <w:right w:val="none" w:sz="0" w:space="0" w:color="auto"/>
      </w:divBdr>
    </w:div>
    <w:div w:id="75447347">
      <w:bodyDiv w:val="1"/>
      <w:marLeft w:val="0"/>
      <w:marRight w:val="0"/>
      <w:marTop w:val="0"/>
      <w:marBottom w:val="0"/>
      <w:divBdr>
        <w:top w:val="none" w:sz="0" w:space="0" w:color="auto"/>
        <w:left w:val="none" w:sz="0" w:space="0" w:color="auto"/>
        <w:bottom w:val="none" w:sz="0" w:space="0" w:color="auto"/>
        <w:right w:val="none" w:sz="0" w:space="0" w:color="auto"/>
      </w:divBdr>
    </w:div>
    <w:div w:id="82725325">
      <w:bodyDiv w:val="1"/>
      <w:marLeft w:val="0"/>
      <w:marRight w:val="0"/>
      <w:marTop w:val="0"/>
      <w:marBottom w:val="0"/>
      <w:divBdr>
        <w:top w:val="none" w:sz="0" w:space="0" w:color="auto"/>
        <w:left w:val="none" w:sz="0" w:space="0" w:color="auto"/>
        <w:bottom w:val="none" w:sz="0" w:space="0" w:color="auto"/>
        <w:right w:val="none" w:sz="0" w:space="0" w:color="auto"/>
      </w:divBdr>
    </w:div>
    <w:div w:id="87702221">
      <w:bodyDiv w:val="1"/>
      <w:marLeft w:val="0"/>
      <w:marRight w:val="0"/>
      <w:marTop w:val="0"/>
      <w:marBottom w:val="0"/>
      <w:divBdr>
        <w:top w:val="none" w:sz="0" w:space="0" w:color="auto"/>
        <w:left w:val="none" w:sz="0" w:space="0" w:color="auto"/>
        <w:bottom w:val="none" w:sz="0" w:space="0" w:color="auto"/>
        <w:right w:val="none" w:sz="0" w:space="0" w:color="auto"/>
      </w:divBdr>
      <w:divsChild>
        <w:div w:id="1717044992">
          <w:marLeft w:val="0"/>
          <w:marRight w:val="0"/>
          <w:marTop w:val="0"/>
          <w:marBottom w:val="0"/>
          <w:divBdr>
            <w:top w:val="none" w:sz="0" w:space="0" w:color="auto"/>
            <w:left w:val="none" w:sz="0" w:space="0" w:color="auto"/>
            <w:bottom w:val="none" w:sz="0" w:space="0" w:color="auto"/>
            <w:right w:val="none" w:sz="0" w:space="0" w:color="auto"/>
          </w:divBdr>
          <w:divsChild>
            <w:div w:id="1386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7073">
      <w:bodyDiv w:val="1"/>
      <w:marLeft w:val="0"/>
      <w:marRight w:val="0"/>
      <w:marTop w:val="0"/>
      <w:marBottom w:val="0"/>
      <w:divBdr>
        <w:top w:val="none" w:sz="0" w:space="0" w:color="auto"/>
        <w:left w:val="none" w:sz="0" w:space="0" w:color="auto"/>
        <w:bottom w:val="none" w:sz="0" w:space="0" w:color="auto"/>
        <w:right w:val="none" w:sz="0" w:space="0" w:color="auto"/>
      </w:divBdr>
    </w:div>
    <w:div w:id="99420149">
      <w:bodyDiv w:val="1"/>
      <w:marLeft w:val="0"/>
      <w:marRight w:val="0"/>
      <w:marTop w:val="0"/>
      <w:marBottom w:val="0"/>
      <w:divBdr>
        <w:top w:val="none" w:sz="0" w:space="0" w:color="auto"/>
        <w:left w:val="none" w:sz="0" w:space="0" w:color="auto"/>
        <w:bottom w:val="none" w:sz="0" w:space="0" w:color="auto"/>
        <w:right w:val="none" w:sz="0" w:space="0" w:color="auto"/>
      </w:divBdr>
    </w:div>
    <w:div w:id="114834814">
      <w:bodyDiv w:val="1"/>
      <w:marLeft w:val="0"/>
      <w:marRight w:val="0"/>
      <w:marTop w:val="0"/>
      <w:marBottom w:val="0"/>
      <w:divBdr>
        <w:top w:val="none" w:sz="0" w:space="0" w:color="auto"/>
        <w:left w:val="none" w:sz="0" w:space="0" w:color="auto"/>
        <w:bottom w:val="none" w:sz="0" w:space="0" w:color="auto"/>
        <w:right w:val="none" w:sz="0" w:space="0" w:color="auto"/>
      </w:divBdr>
      <w:divsChild>
        <w:div w:id="1225288765">
          <w:marLeft w:val="0"/>
          <w:marRight w:val="0"/>
          <w:marTop w:val="0"/>
          <w:marBottom w:val="0"/>
          <w:divBdr>
            <w:top w:val="none" w:sz="0" w:space="0" w:color="auto"/>
            <w:left w:val="none" w:sz="0" w:space="0" w:color="auto"/>
            <w:bottom w:val="none" w:sz="0" w:space="0" w:color="auto"/>
            <w:right w:val="none" w:sz="0" w:space="0" w:color="auto"/>
          </w:divBdr>
        </w:div>
      </w:divsChild>
    </w:div>
    <w:div w:id="122382854">
      <w:bodyDiv w:val="1"/>
      <w:marLeft w:val="0"/>
      <w:marRight w:val="0"/>
      <w:marTop w:val="0"/>
      <w:marBottom w:val="0"/>
      <w:divBdr>
        <w:top w:val="none" w:sz="0" w:space="0" w:color="auto"/>
        <w:left w:val="none" w:sz="0" w:space="0" w:color="auto"/>
        <w:bottom w:val="none" w:sz="0" w:space="0" w:color="auto"/>
        <w:right w:val="none" w:sz="0" w:space="0" w:color="auto"/>
      </w:divBdr>
    </w:div>
    <w:div w:id="123549568">
      <w:bodyDiv w:val="1"/>
      <w:marLeft w:val="0"/>
      <w:marRight w:val="0"/>
      <w:marTop w:val="0"/>
      <w:marBottom w:val="0"/>
      <w:divBdr>
        <w:top w:val="none" w:sz="0" w:space="0" w:color="auto"/>
        <w:left w:val="none" w:sz="0" w:space="0" w:color="auto"/>
        <w:bottom w:val="none" w:sz="0" w:space="0" w:color="auto"/>
        <w:right w:val="none" w:sz="0" w:space="0" w:color="auto"/>
      </w:divBdr>
    </w:div>
    <w:div w:id="142504741">
      <w:bodyDiv w:val="1"/>
      <w:marLeft w:val="0"/>
      <w:marRight w:val="0"/>
      <w:marTop w:val="0"/>
      <w:marBottom w:val="0"/>
      <w:divBdr>
        <w:top w:val="none" w:sz="0" w:space="0" w:color="auto"/>
        <w:left w:val="none" w:sz="0" w:space="0" w:color="auto"/>
        <w:bottom w:val="none" w:sz="0" w:space="0" w:color="auto"/>
        <w:right w:val="none" w:sz="0" w:space="0" w:color="auto"/>
      </w:divBdr>
    </w:div>
    <w:div w:id="204945888">
      <w:bodyDiv w:val="1"/>
      <w:marLeft w:val="0"/>
      <w:marRight w:val="0"/>
      <w:marTop w:val="0"/>
      <w:marBottom w:val="0"/>
      <w:divBdr>
        <w:top w:val="none" w:sz="0" w:space="0" w:color="auto"/>
        <w:left w:val="none" w:sz="0" w:space="0" w:color="auto"/>
        <w:bottom w:val="none" w:sz="0" w:space="0" w:color="auto"/>
        <w:right w:val="none" w:sz="0" w:space="0" w:color="auto"/>
      </w:divBdr>
    </w:div>
    <w:div w:id="224877321">
      <w:bodyDiv w:val="1"/>
      <w:marLeft w:val="0"/>
      <w:marRight w:val="0"/>
      <w:marTop w:val="0"/>
      <w:marBottom w:val="0"/>
      <w:divBdr>
        <w:top w:val="none" w:sz="0" w:space="0" w:color="auto"/>
        <w:left w:val="none" w:sz="0" w:space="0" w:color="auto"/>
        <w:bottom w:val="none" w:sz="0" w:space="0" w:color="auto"/>
        <w:right w:val="none" w:sz="0" w:space="0" w:color="auto"/>
      </w:divBdr>
    </w:div>
    <w:div w:id="228227171">
      <w:bodyDiv w:val="1"/>
      <w:marLeft w:val="0"/>
      <w:marRight w:val="0"/>
      <w:marTop w:val="0"/>
      <w:marBottom w:val="0"/>
      <w:divBdr>
        <w:top w:val="none" w:sz="0" w:space="0" w:color="auto"/>
        <w:left w:val="none" w:sz="0" w:space="0" w:color="auto"/>
        <w:bottom w:val="none" w:sz="0" w:space="0" w:color="auto"/>
        <w:right w:val="none" w:sz="0" w:space="0" w:color="auto"/>
      </w:divBdr>
      <w:divsChild>
        <w:div w:id="188643750">
          <w:marLeft w:val="0"/>
          <w:marRight w:val="0"/>
          <w:marTop w:val="0"/>
          <w:marBottom w:val="0"/>
          <w:divBdr>
            <w:top w:val="none" w:sz="0" w:space="0" w:color="auto"/>
            <w:left w:val="none" w:sz="0" w:space="0" w:color="auto"/>
            <w:bottom w:val="none" w:sz="0" w:space="0" w:color="auto"/>
            <w:right w:val="none" w:sz="0" w:space="0" w:color="auto"/>
          </w:divBdr>
          <w:divsChild>
            <w:div w:id="16271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80083">
      <w:bodyDiv w:val="1"/>
      <w:marLeft w:val="0"/>
      <w:marRight w:val="0"/>
      <w:marTop w:val="0"/>
      <w:marBottom w:val="0"/>
      <w:divBdr>
        <w:top w:val="none" w:sz="0" w:space="0" w:color="auto"/>
        <w:left w:val="none" w:sz="0" w:space="0" w:color="auto"/>
        <w:bottom w:val="none" w:sz="0" w:space="0" w:color="auto"/>
        <w:right w:val="none" w:sz="0" w:space="0" w:color="auto"/>
      </w:divBdr>
    </w:div>
    <w:div w:id="230967603">
      <w:bodyDiv w:val="1"/>
      <w:marLeft w:val="0"/>
      <w:marRight w:val="0"/>
      <w:marTop w:val="0"/>
      <w:marBottom w:val="0"/>
      <w:divBdr>
        <w:top w:val="none" w:sz="0" w:space="0" w:color="auto"/>
        <w:left w:val="none" w:sz="0" w:space="0" w:color="auto"/>
        <w:bottom w:val="none" w:sz="0" w:space="0" w:color="auto"/>
        <w:right w:val="none" w:sz="0" w:space="0" w:color="auto"/>
      </w:divBdr>
    </w:div>
    <w:div w:id="309407511">
      <w:bodyDiv w:val="1"/>
      <w:marLeft w:val="0"/>
      <w:marRight w:val="0"/>
      <w:marTop w:val="0"/>
      <w:marBottom w:val="0"/>
      <w:divBdr>
        <w:top w:val="none" w:sz="0" w:space="0" w:color="auto"/>
        <w:left w:val="none" w:sz="0" w:space="0" w:color="auto"/>
        <w:bottom w:val="none" w:sz="0" w:space="0" w:color="auto"/>
        <w:right w:val="none" w:sz="0" w:space="0" w:color="auto"/>
      </w:divBdr>
      <w:divsChild>
        <w:div w:id="2087262230">
          <w:marLeft w:val="0"/>
          <w:marRight w:val="0"/>
          <w:marTop w:val="0"/>
          <w:marBottom w:val="0"/>
          <w:divBdr>
            <w:top w:val="none" w:sz="0" w:space="0" w:color="auto"/>
            <w:left w:val="none" w:sz="0" w:space="0" w:color="auto"/>
            <w:bottom w:val="none" w:sz="0" w:space="0" w:color="auto"/>
            <w:right w:val="none" w:sz="0" w:space="0" w:color="auto"/>
          </w:divBdr>
          <w:divsChild>
            <w:div w:id="388572254">
              <w:marLeft w:val="0"/>
              <w:marRight w:val="0"/>
              <w:marTop w:val="0"/>
              <w:marBottom w:val="0"/>
              <w:divBdr>
                <w:top w:val="none" w:sz="0" w:space="0" w:color="auto"/>
                <w:left w:val="none" w:sz="0" w:space="0" w:color="auto"/>
                <w:bottom w:val="none" w:sz="0" w:space="0" w:color="auto"/>
                <w:right w:val="none" w:sz="0" w:space="0" w:color="auto"/>
              </w:divBdr>
            </w:div>
            <w:div w:id="532964819">
              <w:marLeft w:val="0"/>
              <w:marRight w:val="0"/>
              <w:marTop w:val="0"/>
              <w:marBottom w:val="0"/>
              <w:divBdr>
                <w:top w:val="none" w:sz="0" w:space="0" w:color="auto"/>
                <w:left w:val="none" w:sz="0" w:space="0" w:color="auto"/>
                <w:bottom w:val="none" w:sz="0" w:space="0" w:color="auto"/>
                <w:right w:val="none" w:sz="0" w:space="0" w:color="auto"/>
              </w:divBdr>
            </w:div>
            <w:div w:id="8230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7290">
      <w:bodyDiv w:val="1"/>
      <w:marLeft w:val="0"/>
      <w:marRight w:val="0"/>
      <w:marTop w:val="0"/>
      <w:marBottom w:val="0"/>
      <w:divBdr>
        <w:top w:val="none" w:sz="0" w:space="0" w:color="auto"/>
        <w:left w:val="none" w:sz="0" w:space="0" w:color="auto"/>
        <w:bottom w:val="none" w:sz="0" w:space="0" w:color="auto"/>
        <w:right w:val="none" w:sz="0" w:space="0" w:color="auto"/>
      </w:divBdr>
    </w:div>
    <w:div w:id="313146043">
      <w:bodyDiv w:val="1"/>
      <w:marLeft w:val="0"/>
      <w:marRight w:val="0"/>
      <w:marTop w:val="0"/>
      <w:marBottom w:val="0"/>
      <w:divBdr>
        <w:top w:val="none" w:sz="0" w:space="0" w:color="auto"/>
        <w:left w:val="none" w:sz="0" w:space="0" w:color="auto"/>
        <w:bottom w:val="none" w:sz="0" w:space="0" w:color="auto"/>
        <w:right w:val="none" w:sz="0" w:space="0" w:color="auto"/>
      </w:divBdr>
    </w:div>
    <w:div w:id="317538919">
      <w:bodyDiv w:val="1"/>
      <w:marLeft w:val="0"/>
      <w:marRight w:val="0"/>
      <w:marTop w:val="0"/>
      <w:marBottom w:val="0"/>
      <w:divBdr>
        <w:top w:val="none" w:sz="0" w:space="0" w:color="auto"/>
        <w:left w:val="none" w:sz="0" w:space="0" w:color="auto"/>
        <w:bottom w:val="none" w:sz="0" w:space="0" w:color="auto"/>
        <w:right w:val="none" w:sz="0" w:space="0" w:color="auto"/>
      </w:divBdr>
      <w:divsChild>
        <w:div w:id="271743592">
          <w:marLeft w:val="0"/>
          <w:marRight w:val="0"/>
          <w:marTop w:val="0"/>
          <w:marBottom w:val="0"/>
          <w:divBdr>
            <w:top w:val="none" w:sz="0" w:space="0" w:color="auto"/>
            <w:left w:val="none" w:sz="0" w:space="0" w:color="auto"/>
            <w:bottom w:val="none" w:sz="0" w:space="0" w:color="auto"/>
            <w:right w:val="none" w:sz="0" w:space="0" w:color="auto"/>
          </w:divBdr>
        </w:div>
      </w:divsChild>
    </w:div>
    <w:div w:id="327170773">
      <w:bodyDiv w:val="1"/>
      <w:marLeft w:val="0"/>
      <w:marRight w:val="0"/>
      <w:marTop w:val="0"/>
      <w:marBottom w:val="0"/>
      <w:divBdr>
        <w:top w:val="none" w:sz="0" w:space="0" w:color="auto"/>
        <w:left w:val="none" w:sz="0" w:space="0" w:color="auto"/>
        <w:bottom w:val="none" w:sz="0" w:space="0" w:color="auto"/>
        <w:right w:val="none" w:sz="0" w:space="0" w:color="auto"/>
      </w:divBdr>
    </w:div>
    <w:div w:id="330565433">
      <w:bodyDiv w:val="1"/>
      <w:marLeft w:val="0"/>
      <w:marRight w:val="0"/>
      <w:marTop w:val="0"/>
      <w:marBottom w:val="0"/>
      <w:divBdr>
        <w:top w:val="none" w:sz="0" w:space="0" w:color="auto"/>
        <w:left w:val="none" w:sz="0" w:space="0" w:color="auto"/>
        <w:bottom w:val="none" w:sz="0" w:space="0" w:color="auto"/>
        <w:right w:val="none" w:sz="0" w:space="0" w:color="auto"/>
      </w:divBdr>
    </w:div>
    <w:div w:id="335159765">
      <w:bodyDiv w:val="1"/>
      <w:marLeft w:val="0"/>
      <w:marRight w:val="0"/>
      <w:marTop w:val="0"/>
      <w:marBottom w:val="0"/>
      <w:divBdr>
        <w:top w:val="none" w:sz="0" w:space="0" w:color="auto"/>
        <w:left w:val="none" w:sz="0" w:space="0" w:color="auto"/>
        <w:bottom w:val="none" w:sz="0" w:space="0" w:color="auto"/>
        <w:right w:val="none" w:sz="0" w:space="0" w:color="auto"/>
      </w:divBdr>
    </w:div>
    <w:div w:id="339937057">
      <w:bodyDiv w:val="1"/>
      <w:marLeft w:val="0"/>
      <w:marRight w:val="0"/>
      <w:marTop w:val="0"/>
      <w:marBottom w:val="0"/>
      <w:divBdr>
        <w:top w:val="none" w:sz="0" w:space="0" w:color="auto"/>
        <w:left w:val="none" w:sz="0" w:space="0" w:color="auto"/>
        <w:bottom w:val="none" w:sz="0" w:space="0" w:color="auto"/>
        <w:right w:val="none" w:sz="0" w:space="0" w:color="auto"/>
      </w:divBdr>
      <w:divsChild>
        <w:div w:id="72706417">
          <w:marLeft w:val="0"/>
          <w:marRight w:val="0"/>
          <w:marTop w:val="0"/>
          <w:marBottom w:val="0"/>
          <w:divBdr>
            <w:top w:val="none" w:sz="0" w:space="0" w:color="auto"/>
            <w:left w:val="none" w:sz="0" w:space="0" w:color="auto"/>
            <w:bottom w:val="none" w:sz="0" w:space="0" w:color="auto"/>
            <w:right w:val="none" w:sz="0" w:space="0" w:color="auto"/>
          </w:divBdr>
        </w:div>
        <w:div w:id="112209145">
          <w:marLeft w:val="0"/>
          <w:marRight w:val="0"/>
          <w:marTop w:val="0"/>
          <w:marBottom w:val="0"/>
          <w:divBdr>
            <w:top w:val="none" w:sz="0" w:space="0" w:color="auto"/>
            <w:left w:val="none" w:sz="0" w:space="0" w:color="auto"/>
            <w:bottom w:val="none" w:sz="0" w:space="0" w:color="auto"/>
            <w:right w:val="none" w:sz="0" w:space="0" w:color="auto"/>
          </w:divBdr>
        </w:div>
        <w:div w:id="121003571">
          <w:marLeft w:val="0"/>
          <w:marRight w:val="0"/>
          <w:marTop w:val="0"/>
          <w:marBottom w:val="0"/>
          <w:divBdr>
            <w:top w:val="none" w:sz="0" w:space="0" w:color="auto"/>
            <w:left w:val="none" w:sz="0" w:space="0" w:color="auto"/>
            <w:bottom w:val="none" w:sz="0" w:space="0" w:color="auto"/>
            <w:right w:val="none" w:sz="0" w:space="0" w:color="auto"/>
          </w:divBdr>
        </w:div>
        <w:div w:id="136731390">
          <w:marLeft w:val="0"/>
          <w:marRight w:val="0"/>
          <w:marTop w:val="0"/>
          <w:marBottom w:val="0"/>
          <w:divBdr>
            <w:top w:val="none" w:sz="0" w:space="0" w:color="auto"/>
            <w:left w:val="none" w:sz="0" w:space="0" w:color="auto"/>
            <w:bottom w:val="none" w:sz="0" w:space="0" w:color="auto"/>
            <w:right w:val="none" w:sz="0" w:space="0" w:color="auto"/>
          </w:divBdr>
        </w:div>
        <w:div w:id="146284638">
          <w:marLeft w:val="0"/>
          <w:marRight w:val="0"/>
          <w:marTop w:val="0"/>
          <w:marBottom w:val="0"/>
          <w:divBdr>
            <w:top w:val="none" w:sz="0" w:space="0" w:color="auto"/>
            <w:left w:val="none" w:sz="0" w:space="0" w:color="auto"/>
            <w:bottom w:val="none" w:sz="0" w:space="0" w:color="auto"/>
            <w:right w:val="none" w:sz="0" w:space="0" w:color="auto"/>
          </w:divBdr>
        </w:div>
        <w:div w:id="183598388">
          <w:marLeft w:val="0"/>
          <w:marRight w:val="0"/>
          <w:marTop w:val="0"/>
          <w:marBottom w:val="0"/>
          <w:divBdr>
            <w:top w:val="none" w:sz="0" w:space="0" w:color="auto"/>
            <w:left w:val="none" w:sz="0" w:space="0" w:color="auto"/>
            <w:bottom w:val="none" w:sz="0" w:space="0" w:color="auto"/>
            <w:right w:val="none" w:sz="0" w:space="0" w:color="auto"/>
          </w:divBdr>
        </w:div>
        <w:div w:id="241332719">
          <w:marLeft w:val="0"/>
          <w:marRight w:val="0"/>
          <w:marTop w:val="0"/>
          <w:marBottom w:val="0"/>
          <w:divBdr>
            <w:top w:val="none" w:sz="0" w:space="0" w:color="auto"/>
            <w:left w:val="none" w:sz="0" w:space="0" w:color="auto"/>
            <w:bottom w:val="none" w:sz="0" w:space="0" w:color="auto"/>
            <w:right w:val="none" w:sz="0" w:space="0" w:color="auto"/>
          </w:divBdr>
        </w:div>
        <w:div w:id="242762675">
          <w:marLeft w:val="0"/>
          <w:marRight w:val="0"/>
          <w:marTop w:val="0"/>
          <w:marBottom w:val="0"/>
          <w:divBdr>
            <w:top w:val="none" w:sz="0" w:space="0" w:color="auto"/>
            <w:left w:val="none" w:sz="0" w:space="0" w:color="auto"/>
            <w:bottom w:val="none" w:sz="0" w:space="0" w:color="auto"/>
            <w:right w:val="none" w:sz="0" w:space="0" w:color="auto"/>
          </w:divBdr>
        </w:div>
        <w:div w:id="256642055">
          <w:marLeft w:val="0"/>
          <w:marRight w:val="0"/>
          <w:marTop w:val="0"/>
          <w:marBottom w:val="0"/>
          <w:divBdr>
            <w:top w:val="none" w:sz="0" w:space="0" w:color="auto"/>
            <w:left w:val="none" w:sz="0" w:space="0" w:color="auto"/>
            <w:bottom w:val="none" w:sz="0" w:space="0" w:color="auto"/>
            <w:right w:val="none" w:sz="0" w:space="0" w:color="auto"/>
          </w:divBdr>
        </w:div>
        <w:div w:id="260533301">
          <w:marLeft w:val="0"/>
          <w:marRight w:val="0"/>
          <w:marTop w:val="0"/>
          <w:marBottom w:val="0"/>
          <w:divBdr>
            <w:top w:val="none" w:sz="0" w:space="0" w:color="auto"/>
            <w:left w:val="none" w:sz="0" w:space="0" w:color="auto"/>
            <w:bottom w:val="none" w:sz="0" w:space="0" w:color="auto"/>
            <w:right w:val="none" w:sz="0" w:space="0" w:color="auto"/>
          </w:divBdr>
        </w:div>
        <w:div w:id="282813196">
          <w:marLeft w:val="0"/>
          <w:marRight w:val="0"/>
          <w:marTop w:val="0"/>
          <w:marBottom w:val="0"/>
          <w:divBdr>
            <w:top w:val="none" w:sz="0" w:space="0" w:color="auto"/>
            <w:left w:val="none" w:sz="0" w:space="0" w:color="auto"/>
            <w:bottom w:val="none" w:sz="0" w:space="0" w:color="auto"/>
            <w:right w:val="none" w:sz="0" w:space="0" w:color="auto"/>
          </w:divBdr>
        </w:div>
        <w:div w:id="317273428">
          <w:marLeft w:val="0"/>
          <w:marRight w:val="0"/>
          <w:marTop w:val="0"/>
          <w:marBottom w:val="0"/>
          <w:divBdr>
            <w:top w:val="none" w:sz="0" w:space="0" w:color="auto"/>
            <w:left w:val="none" w:sz="0" w:space="0" w:color="auto"/>
            <w:bottom w:val="none" w:sz="0" w:space="0" w:color="auto"/>
            <w:right w:val="none" w:sz="0" w:space="0" w:color="auto"/>
          </w:divBdr>
        </w:div>
        <w:div w:id="403989272">
          <w:marLeft w:val="0"/>
          <w:marRight w:val="0"/>
          <w:marTop w:val="0"/>
          <w:marBottom w:val="0"/>
          <w:divBdr>
            <w:top w:val="none" w:sz="0" w:space="0" w:color="auto"/>
            <w:left w:val="none" w:sz="0" w:space="0" w:color="auto"/>
            <w:bottom w:val="none" w:sz="0" w:space="0" w:color="auto"/>
            <w:right w:val="none" w:sz="0" w:space="0" w:color="auto"/>
          </w:divBdr>
        </w:div>
        <w:div w:id="417405218">
          <w:marLeft w:val="0"/>
          <w:marRight w:val="0"/>
          <w:marTop w:val="0"/>
          <w:marBottom w:val="0"/>
          <w:divBdr>
            <w:top w:val="none" w:sz="0" w:space="0" w:color="auto"/>
            <w:left w:val="none" w:sz="0" w:space="0" w:color="auto"/>
            <w:bottom w:val="none" w:sz="0" w:space="0" w:color="auto"/>
            <w:right w:val="none" w:sz="0" w:space="0" w:color="auto"/>
          </w:divBdr>
        </w:div>
        <w:div w:id="428736869">
          <w:marLeft w:val="0"/>
          <w:marRight w:val="0"/>
          <w:marTop w:val="0"/>
          <w:marBottom w:val="0"/>
          <w:divBdr>
            <w:top w:val="none" w:sz="0" w:space="0" w:color="auto"/>
            <w:left w:val="none" w:sz="0" w:space="0" w:color="auto"/>
            <w:bottom w:val="none" w:sz="0" w:space="0" w:color="auto"/>
            <w:right w:val="none" w:sz="0" w:space="0" w:color="auto"/>
          </w:divBdr>
        </w:div>
        <w:div w:id="503587878">
          <w:marLeft w:val="0"/>
          <w:marRight w:val="0"/>
          <w:marTop w:val="0"/>
          <w:marBottom w:val="0"/>
          <w:divBdr>
            <w:top w:val="none" w:sz="0" w:space="0" w:color="auto"/>
            <w:left w:val="none" w:sz="0" w:space="0" w:color="auto"/>
            <w:bottom w:val="none" w:sz="0" w:space="0" w:color="auto"/>
            <w:right w:val="none" w:sz="0" w:space="0" w:color="auto"/>
          </w:divBdr>
        </w:div>
        <w:div w:id="508132907">
          <w:marLeft w:val="0"/>
          <w:marRight w:val="0"/>
          <w:marTop w:val="0"/>
          <w:marBottom w:val="0"/>
          <w:divBdr>
            <w:top w:val="none" w:sz="0" w:space="0" w:color="auto"/>
            <w:left w:val="none" w:sz="0" w:space="0" w:color="auto"/>
            <w:bottom w:val="none" w:sz="0" w:space="0" w:color="auto"/>
            <w:right w:val="none" w:sz="0" w:space="0" w:color="auto"/>
          </w:divBdr>
        </w:div>
        <w:div w:id="519129302">
          <w:marLeft w:val="0"/>
          <w:marRight w:val="0"/>
          <w:marTop w:val="0"/>
          <w:marBottom w:val="0"/>
          <w:divBdr>
            <w:top w:val="none" w:sz="0" w:space="0" w:color="auto"/>
            <w:left w:val="none" w:sz="0" w:space="0" w:color="auto"/>
            <w:bottom w:val="none" w:sz="0" w:space="0" w:color="auto"/>
            <w:right w:val="none" w:sz="0" w:space="0" w:color="auto"/>
          </w:divBdr>
        </w:div>
        <w:div w:id="628048774">
          <w:marLeft w:val="0"/>
          <w:marRight w:val="0"/>
          <w:marTop w:val="0"/>
          <w:marBottom w:val="0"/>
          <w:divBdr>
            <w:top w:val="none" w:sz="0" w:space="0" w:color="auto"/>
            <w:left w:val="none" w:sz="0" w:space="0" w:color="auto"/>
            <w:bottom w:val="none" w:sz="0" w:space="0" w:color="auto"/>
            <w:right w:val="none" w:sz="0" w:space="0" w:color="auto"/>
          </w:divBdr>
        </w:div>
        <w:div w:id="635725248">
          <w:marLeft w:val="0"/>
          <w:marRight w:val="0"/>
          <w:marTop w:val="0"/>
          <w:marBottom w:val="0"/>
          <w:divBdr>
            <w:top w:val="none" w:sz="0" w:space="0" w:color="auto"/>
            <w:left w:val="none" w:sz="0" w:space="0" w:color="auto"/>
            <w:bottom w:val="none" w:sz="0" w:space="0" w:color="auto"/>
            <w:right w:val="none" w:sz="0" w:space="0" w:color="auto"/>
          </w:divBdr>
        </w:div>
        <w:div w:id="653334935">
          <w:marLeft w:val="0"/>
          <w:marRight w:val="0"/>
          <w:marTop w:val="0"/>
          <w:marBottom w:val="0"/>
          <w:divBdr>
            <w:top w:val="none" w:sz="0" w:space="0" w:color="auto"/>
            <w:left w:val="none" w:sz="0" w:space="0" w:color="auto"/>
            <w:bottom w:val="none" w:sz="0" w:space="0" w:color="auto"/>
            <w:right w:val="none" w:sz="0" w:space="0" w:color="auto"/>
          </w:divBdr>
        </w:div>
        <w:div w:id="679161470">
          <w:marLeft w:val="0"/>
          <w:marRight w:val="0"/>
          <w:marTop w:val="0"/>
          <w:marBottom w:val="0"/>
          <w:divBdr>
            <w:top w:val="none" w:sz="0" w:space="0" w:color="auto"/>
            <w:left w:val="none" w:sz="0" w:space="0" w:color="auto"/>
            <w:bottom w:val="none" w:sz="0" w:space="0" w:color="auto"/>
            <w:right w:val="none" w:sz="0" w:space="0" w:color="auto"/>
          </w:divBdr>
        </w:div>
        <w:div w:id="700127139">
          <w:marLeft w:val="0"/>
          <w:marRight w:val="0"/>
          <w:marTop w:val="0"/>
          <w:marBottom w:val="0"/>
          <w:divBdr>
            <w:top w:val="none" w:sz="0" w:space="0" w:color="auto"/>
            <w:left w:val="none" w:sz="0" w:space="0" w:color="auto"/>
            <w:bottom w:val="none" w:sz="0" w:space="0" w:color="auto"/>
            <w:right w:val="none" w:sz="0" w:space="0" w:color="auto"/>
          </w:divBdr>
        </w:div>
        <w:div w:id="779111359">
          <w:marLeft w:val="0"/>
          <w:marRight w:val="0"/>
          <w:marTop w:val="0"/>
          <w:marBottom w:val="0"/>
          <w:divBdr>
            <w:top w:val="none" w:sz="0" w:space="0" w:color="auto"/>
            <w:left w:val="none" w:sz="0" w:space="0" w:color="auto"/>
            <w:bottom w:val="none" w:sz="0" w:space="0" w:color="auto"/>
            <w:right w:val="none" w:sz="0" w:space="0" w:color="auto"/>
          </w:divBdr>
        </w:div>
        <w:div w:id="811100059">
          <w:marLeft w:val="0"/>
          <w:marRight w:val="0"/>
          <w:marTop w:val="0"/>
          <w:marBottom w:val="0"/>
          <w:divBdr>
            <w:top w:val="none" w:sz="0" w:space="0" w:color="auto"/>
            <w:left w:val="none" w:sz="0" w:space="0" w:color="auto"/>
            <w:bottom w:val="none" w:sz="0" w:space="0" w:color="auto"/>
            <w:right w:val="none" w:sz="0" w:space="0" w:color="auto"/>
          </w:divBdr>
        </w:div>
        <w:div w:id="815955163">
          <w:marLeft w:val="0"/>
          <w:marRight w:val="0"/>
          <w:marTop w:val="0"/>
          <w:marBottom w:val="0"/>
          <w:divBdr>
            <w:top w:val="none" w:sz="0" w:space="0" w:color="auto"/>
            <w:left w:val="none" w:sz="0" w:space="0" w:color="auto"/>
            <w:bottom w:val="none" w:sz="0" w:space="0" w:color="auto"/>
            <w:right w:val="none" w:sz="0" w:space="0" w:color="auto"/>
          </w:divBdr>
        </w:div>
        <w:div w:id="834958791">
          <w:marLeft w:val="0"/>
          <w:marRight w:val="0"/>
          <w:marTop w:val="0"/>
          <w:marBottom w:val="0"/>
          <w:divBdr>
            <w:top w:val="none" w:sz="0" w:space="0" w:color="auto"/>
            <w:left w:val="none" w:sz="0" w:space="0" w:color="auto"/>
            <w:bottom w:val="none" w:sz="0" w:space="0" w:color="auto"/>
            <w:right w:val="none" w:sz="0" w:space="0" w:color="auto"/>
          </w:divBdr>
        </w:div>
        <w:div w:id="893078978">
          <w:marLeft w:val="0"/>
          <w:marRight w:val="0"/>
          <w:marTop w:val="0"/>
          <w:marBottom w:val="0"/>
          <w:divBdr>
            <w:top w:val="none" w:sz="0" w:space="0" w:color="auto"/>
            <w:left w:val="none" w:sz="0" w:space="0" w:color="auto"/>
            <w:bottom w:val="none" w:sz="0" w:space="0" w:color="auto"/>
            <w:right w:val="none" w:sz="0" w:space="0" w:color="auto"/>
          </w:divBdr>
        </w:div>
        <w:div w:id="905069628">
          <w:marLeft w:val="0"/>
          <w:marRight w:val="0"/>
          <w:marTop w:val="0"/>
          <w:marBottom w:val="0"/>
          <w:divBdr>
            <w:top w:val="none" w:sz="0" w:space="0" w:color="auto"/>
            <w:left w:val="none" w:sz="0" w:space="0" w:color="auto"/>
            <w:bottom w:val="none" w:sz="0" w:space="0" w:color="auto"/>
            <w:right w:val="none" w:sz="0" w:space="0" w:color="auto"/>
          </w:divBdr>
        </w:div>
        <w:div w:id="910119249">
          <w:marLeft w:val="0"/>
          <w:marRight w:val="0"/>
          <w:marTop w:val="0"/>
          <w:marBottom w:val="0"/>
          <w:divBdr>
            <w:top w:val="none" w:sz="0" w:space="0" w:color="auto"/>
            <w:left w:val="none" w:sz="0" w:space="0" w:color="auto"/>
            <w:bottom w:val="none" w:sz="0" w:space="0" w:color="auto"/>
            <w:right w:val="none" w:sz="0" w:space="0" w:color="auto"/>
          </w:divBdr>
        </w:div>
        <w:div w:id="980884298">
          <w:marLeft w:val="0"/>
          <w:marRight w:val="0"/>
          <w:marTop w:val="0"/>
          <w:marBottom w:val="0"/>
          <w:divBdr>
            <w:top w:val="none" w:sz="0" w:space="0" w:color="auto"/>
            <w:left w:val="none" w:sz="0" w:space="0" w:color="auto"/>
            <w:bottom w:val="none" w:sz="0" w:space="0" w:color="auto"/>
            <w:right w:val="none" w:sz="0" w:space="0" w:color="auto"/>
          </w:divBdr>
        </w:div>
        <w:div w:id="993140389">
          <w:marLeft w:val="0"/>
          <w:marRight w:val="0"/>
          <w:marTop w:val="0"/>
          <w:marBottom w:val="0"/>
          <w:divBdr>
            <w:top w:val="none" w:sz="0" w:space="0" w:color="auto"/>
            <w:left w:val="none" w:sz="0" w:space="0" w:color="auto"/>
            <w:bottom w:val="none" w:sz="0" w:space="0" w:color="auto"/>
            <w:right w:val="none" w:sz="0" w:space="0" w:color="auto"/>
          </w:divBdr>
        </w:div>
        <w:div w:id="1022516144">
          <w:marLeft w:val="0"/>
          <w:marRight w:val="0"/>
          <w:marTop w:val="0"/>
          <w:marBottom w:val="0"/>
          <w:divBdr>
            <w:top w:val="none" w:sz="0" w:space="0" w:color="auto"/>
            <w:left w:val="none" w:sz="0" w:space="0" w:color="auto"/>
            <w:bottom w:val="none" w:sz="0" w:space="0" w:color="auto"/>
            <w:right w:val="none" w:sz="0" w:space="0" w:color="auto"/>
          </w:divBdr>
        </w:div>
        <w:div w:id="1026759392">
          <w:marLeft w:val="0"/>
          <w:marRight w:val="0"/>
          <w:marTop w:val="0"/>
          <w:marBottom w:val="0"/>
          <w:divBdr>
            <w:top w:val="none" w:sz="0" w:space="0" w:color="auto"/>
            <w:left w:val="none" w:sz="0" w:space="0" w:color="auto"/>
            <w:bottom w:val="none" w:sz="0" w:space="0" w:color="auto"/>
            <w:right w:val="none" w:sz="0" w:space="0" w:color="auto"/>
          </w:divBdr>
        </w:div>
        <w:div w:id="1110777870">
          <w:marLeft w:val="0"/>
          <w:marRight w:val="0"/>
          <w:marTop w:val="0"/>
          <w:marBottom w:val="0"/>
          <w:divBdr>
            <w:top w:val="none" w:sz="0" w:space="0" w:color="auto"/>
            <w:left w:val="none" w:sz="0" w:space="0" w:color="auto"/>
            <w:bottom w:val="none" w:sz="0" w:space="0" w:color="auto"/>
            <w:right w:val="none" w:sz="0" w:space="0" w:color="auto"/>
          </w:divBdr>
        </w:div>
        <w:div w:id="1165322724">
          <w:marLeft w:val="0"/>
          <w:marRight w:val="0"/>
          <w:marTop w:val="0"/>
          <w:marBottom w:val="0"/>
          <w:divBdr>
            <w:top w:val="none" w:sz="0" w:space="0" w:color="auto"/>
            <w:left w:val="none" w:sz="0" w:space="0" w:color="auto"/>
            <w:bottom w:val="none" w:sz="0" w:space="0" w:color="auto"/>
            <w:right w:val="none" w:sz="0" w:space="0" w:color="auto"/>
          </w:divBdr>
        </w:div>
        <w:div w:id="1230726719">
          <w:marLeft w:val="0"/>
          <w:marRight w:val="0"/>
          <w:marTop w:val="0"/>
          <w:marBottom w:val="0"/>
          <w:divBdr>
            <w:top w:val="none" w:sz="0" w:space="0" w:color="auto"/>
            <w:left w:val="none" w:sz="0" w:space="0" w:color="auto"/>
            <w:bottom w:val="none" w:sz="0" w:space="0" w:color="auto"/>
            <w:right w:val="none" w:sz="0" w:space="0" w:color="auto"/>
          </w:divBdr>
        </w:div>
        <w:div w:id="1294361453">
          <w:marLeft w:val="0"/>
          <w:marRight w:val="0"/>
          <w:marTop w:val="0"/>
          <w:marBottom w:val="0"/>
          <w:divBdr>
            <w:top w:val="none" w:sz="0" w:space="0" w:color="auto"/>
            <w:left w:val="none" w:sz="0" w:space="0" w:color="auto"/>
            <w:bottom w:val="none" w:sz="0" w:space="0" w:color="auto"/>
            <w:right w:val="none" w:sz="0" w:space="0" w:color="auto"/>
          </w:divBdr>
        </w:div>
        <w:div w:id="1322320071">
          <w:marLeft w:val="0"/>
          <w:marRight w:val="0"/>
          <w:marTop w:val="0"/>
          <w:marBottom w:val="0"/>
          <w:divBdr>
            <w:top w:val="none" w:sz="0" w:space="0" w:color="auto"/>
            <w:left w:val="none" w:sz="0" w:space="0" w:color="auto"/>
            <w:bottom w:val="none" w:sz="0" w:space="0" w:color="auto"/>
            <w:right w:val="none" w:sz="0" w:space="0" w:color="auto"/>
          </w:divBdr>
        </w:div>
        <w:div w:id="1339229807">
          <w:marLeft w:val="0"/>
          <w:marRight w:val="0"/>
          <w:marTop w:val="0"/>
          <w:marBottom w:val="0"/>
          <w:divBdr>
            <w:top w:val="none" w:sz="0" w:space="0" w:color="auto"/>
            <w:left w:val="none" w:sz="0" w:space="0" w:color="auto"/>
            <w:bottom w:val="none" w:sz="0" w:space="0" w:color="auto"/>
            <w:right w:val="none" w:sz="0" w:space="0" w:color="auto"/>
          </w:divBdr>
        </w:div>
        <w:div w:id="1365250209">
          <w:marLeft w:val="0"/>
          <w:marRight w:val="0"/>
          <w:marTop w:val="0"/>
          <w:marBottom w:val="0"/>
          <w:divBdr>
            <w:top w:val="none" w:sz="0" w:space="0" w:color="auto"/>
            <w:left w:val="none" w:sz="0" w:space="0" w:color="auto"/>
            <w:bottom w:val="none" w:sz="0" w:space="0" w:color="auto"/>
            <w:right w:val="none" w:sz="0" w:space="0" w:color="auto"/>
          </w:divBdr>
        </w:div>
        <w:div w:id="1382097648">
          <w:marLeft w:val="0"/>
          <w:marRight w:val="0"/>
          <w:marTop w:val="0"/>
          <w:marBottom w:val="0"/>
          <w:divBdr>
            <w:top w:val="none" w:sz="0" w:space="0" w:color="auto"/>
            <w:left w:val="none" w:sz="0" w:space="0" w:color="auto"/>
            <w:bottom w:val="none" w:sz="0" w:space="0" w:color="auto"/>
            <w:right w:val="none" w:sz="0" w:space="0" w:color="auto"/>
          </w:divBdr>
        </w:div>
        <w:div w:id="1402748893">
          <w:marLeft w:val="0"/>
          <w:marRight w:val="0"/>
          <w:marTop w:val="0"/>
          <w:marBottom w:val="0"/>
          <w:divBdr>
            <w:top w:val="none" w:sz="0" w:space="0" w:color="auto"/>
            <w:left w:val="none" w:sz="0" w:space="0" w:color="auto"/>
            <w:bottom w:val="none" w:sz="0" w:space="0" w:color="auto"/>
            <w:right w:val="none" w:sz="0" w:space="0" w:color="auto"/>
          </w:divBdr>
        </w:div>
        <w:div w:id="1413504283">
          <w:marLeft w:val="0"/>
          <w:marRight w:val="0"/>
          <w:marTop w:val="0"/>
          <w:marBottom w:val="0"/>
          <w:divBdr>
            <w:top w:val="none" w:sz="0" w:space="0" w:color="auto"/>
            <w:left w:val="none" w:sz="0" w:space="0" w:color="auto"/>
            <w:bottom w:val="none" w:sz="0" w:space="0" w:color="auto"/>
            <w:right w:val="none" w:sz="0" w:space="0" w:color="auto"/>
          </w:divBdr>
        </w:div>
        <w:div w:id="1518154625">
          <w:marLeft w:val="0"/>
          <w:marRight w:val="0"/>
          <w:marTop w:val="0"/>
          <w:marBottom w:val="0"/>
          <w:divBdr>
            <w:top w:val="none" w:sz="0" w:space="0" w:color="auto"/>
            <w:left w:val="none" w:sz="0" w:space="0" w:color="auto"/>
            <w:bottom w:val="none" w:sz="0" w:space="0" w:color="auto"/>
            <w:right w:val="none" w:sz="0" w:space="0" w:color="auto"/>
          </w:divBdr>
        </w:div>
        <w:div w:id="1530800207">
          <w:marLeft w:val="0"/>
          <w:marRight w:val="0"/>
          <w:marTop w:val="0"/>
          <w:marBottom w:val="0"/>
          <w:divBdr>
            <w:top w:val="none" w:sz="0" w:space="0" w:color="auto"/>
            <w:left w:val="none" w:sz="0" w:space="0" w:color="auto"/>
            <w:bottom w:val="none" w:sz="0" w:space="0" w:color="auto"/>
            <w:right w:val="none" w:sz="0" w:space="0" w:color="auto"/>
          </w:divBdr>
        </w:div>
        <w:div w:id="1563367817">
          <w:marLeft w:val="0"/>
          <w:marRight w:val="0"/>
          <w:marTop w:val="0"/>
          <w:marBottom w:val="0"/>
          <w:divBdr>
            <w:top w:val="none" w:sz="0" w:space="0" w:color="auto"/>
            <w:left w:val="none" w:sz="0" w:space="0" w:color="auto"/>
            <w:bottom w:val="none" w:sz="0" w:space="0" w:color="auto"/>
            <w:right w:val="none" w:sz="0" w:space="0" w:color="auto"/>
          </w:divBdr>
        </w:div>
        <w:div w:id="1588612584">
          <w:marLeft w:val="0"/>
          <w:marRight w:val="0"/>
          <w:marTop w:val="0"/>
          <w:marBottom w:val="0"/>
          <w:divBdr>
            <w:top w:val="none" w:sz="0" w:space="0" w:color="auto"/>
            <w:left w:val="none" w:sz="0" w:space="0" w:color="auto"/>
            <w:bottom w:val="none" w:sz="0" w:space="0" w:color="auto"/>
            <w:right w:val="none" w:sz="0" w:space="0" w:color="auto"/>
          </w:divBdr>
        </w:div>
        <w:div w:id="1601723023">
          <w:marLeft w:val="0"/>
          <w:marRight w:val="0"/>
          <w:marTop w:val="0"/>
          <w:marBottom w:val="0"/>
          <w:divBdr>
            <w:top w:val="none" w:sz="0" w:space="0" w:color="auto"/>
            <w:left w:val="none" w:sz="0" w:space="0" w:color="auto"/>
            <w:bottom w:val="none" w:sz="0" w:space="0" w:color="auto"/>
            <w:right w:val="none" w:sz="0" w:space="0" w:color="auto"/>
          </w:divBdr>
        </w:div>
        <w:div w:id="1610968915">
          <w:marLeft w:val="0"/>
          <w:marRight w:val="0"/>
          <w:marTop w:val="0"/>
          <w:marBottom w:val="0"/>
          <w:divBdr>
            <w:top w:val="none" w:sz="0" w:space="0" w:color="auto"/>
            <w:left w:val="none" w:sz="0" w:space="0" w:color="auto"/>
            <w:bottom w:val="none" w:sz="0" w:space="0" w:color="auto"/>
            <w:right w:val="none" w:sz="0" w:space="0" w:color="auto"/>
          </w:divBdr>
        </w:div>
        <w:div w:id="1614744090">
          <w:marLeft w:val="0"/>
          <w:marRight w:val="0"/>
          <w:marTop w:val="0"/>
          <w:marBottom w:val="0"/>
          <w:divBdr>
            <w:top w:val="none" w:sz="0" w:space="0" w:color="auto"/>
            <w:left w:val="none" w:sz="0" w:space="0" w:color="auto"/>
            <w:bottom w:val="none" w:sz="0" w:space="0" w:color="auto"/>
            <w:right w:val="none" w:sz="0" w:space="0" w:color="auto"/>
          </w:divBdr>
        </w:div>
        <w:div w:id="1634404744">
          <w:marLeft w:val="0"/>
          <w:marRight w:val="0"/>
          <w:marTop w:val="0"/>
          <w:marBottom w:val="0"/>
          <w:divBdr>
            <w:top w:val="none" w:sz="0" w:space="0" w:color="auto"/>
            <w:left w:val="none" w:sz="0" w:space="0" w:color="auto"/>
            <w:bottom w:val="none" w:sz="0" w:space="0" w:color="auto"/>
            <w:right w:val="none" w:sz="0" w:space="0" w:color="auto"/>
          </w:divBdr>
        </w:div>
        <w:div w:id="1654483806">
          <w:marLeft w:val="0"/>
          <w:marRight w:val="0"/>
          <w:marTop w:val="0"/>
          <w:marBottom w:val="0"/>
          <w:divBdr>
            <w:top w:val="none" w:sz="0" w:space="0" w:color="auto"/>
            <w:left w:val="none" w:sz="0" w:space="0" w:color="auto"/>
            <w:bottom w:val="none" w:sz="0" w:space="0" w:color="auto"/>
            <w:right w:val="none" w:sz="0" w:space="0" w:color="auto"/>
          </w:divBdr>
        </w:div>
        <w:div w:id="1671450112">
          <w:marLeft w:val="0"/>
          <w:marRight w:val="0"/>
          <w:marTop w:val="0"/>
          <w:marBottom w:val="0"/>
          <w:divBdr>
            <w:top w:val="none" w:sz="0" w:space="0" w:color="auto"/>
            <w:left w:val="none" w:sz="0" w:space="0" w:color="auto"/>
            <w:bottom w:val="none" w:sz="0" w:space="0" w:color="auto"/>
            <w:right w:val="none" w:sz="0" w:space="0" w:color="auto"/>
          </w:divBdr>
        </w:div>
        <w:div w:id="1677154373">
          <w:marLeft w:val="0"/>
          <w:marRight w:val="0"/>
          <w:marTop w:val="0"/>
          <w:marBottom w:val="0"/>
          <w:divBdr>
            <w:top w:val="none" w:sz="0" w:space="0" w:color="auto"/>
            <w:left w:val="none" w:sz="0" w:space="0" w:color="auto"/>
            <w:bottom w:val="none" w:sz="0" w:space="0" w:color="auto"/>
            <w:right w:val="none" w:sz="0" w:space="0" w:color="auto"/>
          </w:divBdr>
        </w:div>
        <w:div w:id="1678730622">
          <w:marLeft w:val="0"/>
          <w:marRight w:val="0"/>
          <w:marTop w:val="0"/>
          <w:marBottom w:val="0"/>
          <w:divBdr>
            <w:top w:val="none" w:sz="0" w:space="0" w:color="auto"/>
            <w:left w:val="none" w:sz="0" w:space="0" w:color="auto"/>
            <w:bottom w:val="none" w:sz="0" w:space="0" w:color="auto"/>
            <w:right w:val="none" w:sz="0" w:space="0" w:color="auto"/>
          </w:divBdr>
        </w:div>
        <w:div w:id="1698894195">
          <w:marLeft w:val="0"/>
          <w:marRight w:val="0"/>
          <w:marTop w:val="0"/>
          <w:marBottom w:val="0"/>
          <w:divBdr>
            <w:top w:val="none" w:sz="0" w:space="0" w:color="auto"/>
            <w:left w:val="none" w:sz="0" w:space="0" w:color="auto"/>
            <w:bottom w:val="none" w:sz="0" w:space="0" w:color="auto"/>
            <w:right w:val="none" w:sz="0" w:space="0" w:color="auto"/>
          </w:divBdr>
        </w:div>
        <w:div w:id="1700200558">
          <w:marLeft w:val="0"/>
          <w:marRight w:val="0"/>
          <w:marTop w:val="0"/>
          <w:marBottom w:val="0"/>
          <w:divBdr>
            <w:top w:val="none" w:sz="0" w:space="0" w:color="auto"/>
            <w:left w:val="none" w:sz="0" w:space="0" w:color="auto"/>
            <w:bottom w:val="none" w:sz="0" w:space="0" w:color="auto"/>
            <w:right w:val="none" w:sz="0" w:space="0" w:color="auto"/>
          </w:divBdr>
        </w:div>
        <w:div w:id="1707409936">
          <w:marLeft w:val="0"/>
          <w:marRight w:val="0"/>
          <w:marTop w:val="0"/>
          <w:marBottom w:val="0"/>
          <w:divBdr>
            <w:top w:val="none" w:sz="0" w:space="0" w:color="auto"/>
            <w:left w:val="none" w:sz="0" w:space="0" w:color="auto"/>
            <w:bottom w:val="none" w:sz="0" w:space="0" w:color="auto"/>
            <w:right w:val="none" w:sz="0" w:space="0" w:color="auto"/>
          </w:divBdr>
        </w:div>
        <w:div w:id="1722746791">
          <w:marLeft w:val="0"/>
          <w:marRight w:val="0"/>
          <w:marTop w:val="0"/>
          <w:marBottom w:val="0"/>
          <w:divBdr>
            <w:top w:val="none" w:sz="0" w:space="0" w:color="auto"/>
            <w:left w:val="none" w:sz="0" w:space="0" w:color="auto"/>
            <w:bottom w:val="none" w:sz="0" w:space="0" w:color="auto"/>
            <w:right w:val="none" w:sz="0" w:space="0" w:color="auto"/>
          </w:divBdr>
        </w:div>
        <w:div w:id="1753771870">
          <w:marLeft w:val="0"/>
          <w:marRight w:val="0"/>
          <w:marTop w:val="0"/>
          <w:marBottom w:val="0"/>
          <w:divBdr>
            <w:top w:val="none" w:sz="0" w:space="0" w:color="auto"/>
            <w:left w:val="none" w:sz="0" w:space="0" w:color="auto"/>
            <w:bottom w:val="none" w:sz="0" w:space="0" w:color="auto"/>
            <w:right w:val="none" w:sz="0" w:space="0" w:color="auto"/>
          </w:divBdr>
        </w:div>
        <w:div w:id="1756701704">
          <w:marLeft w:val="0"/>
          <w:marRight w:val="0"/>
          <w:marTop w:val="0"/>
          <w:marBottom w:val="0"/>
          <w:divBdr>
            <w:top w:val="none" w:sz="0" w:space="0" w:color="auto"/>
            <w:left w:val="none" w:sz="0" w:space="0" w:color="auto"/>
            <w:bottom w:val="none" w:sz="0" w:space="0" w:color="auto"/>
            <w:right w:val="none" w:sz="0" w:space="0" w:color="auto"/>
          </w:divBdr>
        </w:div>
        <w:div w:id="1771049371">
          <w:marLeft w:val="0"/>
          <w:marRight w:val="0"/>
          <w:marTop w:val="0"/>
          <w:marBottom w:val="0"/>
          <w:divBdr>
            <w:top w:val="none" w:sz="0" w:space="0" w:color="auto"/>
            <w:left w:val="none" w:sz="0" w:space="0" w:color="auto"/>
            <w:bottom w:val="none" w:sz="0" w:space="0" w:color="auto"/>
            <w:right w:val="none" w:sz="0" w:space="0" w:color="auto"/>
          </w:divBdr>
        </w:div>
        <w:div w:id="1777558211">
          <w:marLeft w:val="0"/>
          <w:marRight w:val="0"/>
          <w:marTop w:val="0"/>
          <w:marBottom w:val="0"/>
          <w:divBdr>
            <w:top w:val="none" w:sz="0" w:space="0" w:color="auto"/>
            <w:left w:val="none" w:sz="0" w:space="0" w:color="auto"/>
            <w:bottom w:val="none" w:sz="0" w:space="0" w:color="auto"/>
            <w:right w:val="none" w:sz="0" w:space="0" w:color="auto"/>
          </w:divBdr>
        </w:div>
        <w:div w:id="1810514802">
          <w:marLeft w:val="0"/>
          <w:marRight w:val="0"/>
          <w:marTop w:val="0"/>
          <w:marBottom w:val="0"/>
          <w:divBdr>
            <w:top w:val="none" w:sz="0" w:space="0" w:color="auto"/>
            <w:left w:val="none" w:sz="0" w:space="0" w:color="auto"/>
            <w:bottom w:val="none" w:sz="0" w:space="0" w:color="auto"/>
            <w:right w:val="none" w:sz="0" w:space="0" w:color="auto"/>
          </w:divBdr>
        </w:div>
        <w:div w:id="1824546796">
          <w:marLeft w:val="0"/>
          <w:marRight w:val="0"/>
          <w:marTop w:val="0"/>
          <w:marBottom w:val="0"/>
          <w:divBdr>
            <w:top w:val="none" w:sz="0" w:space="0" w:color="auto"/>
            <w:left w:val="none" w:sz="0" w:space="0" w:color="auto"/>
            <w:bottom w:val="none" w:sz="0" w:space="0" w:color="auto"/>
            <w:right w:val="none" w:sz="0" w:space="0" w:color="auto"/>
          </w:divBdr>
        </w:div>
        <w:div w:id="1943537123">
          <w:marLeft w:val="0"/>
          <w:marRight w:val="0"/>
          <w:marTop w:val="0"/>
          <w:marBottom w:val="0"/>
          <w:divBdr>
            <w:top w:val="none" w:sz="0" w:space="0" w:color="auto"/>
            <w:left w:val="none" w:sz="0" w:space="0" w:color="auto"/>
            <w:bottom w:val="none" w:sz="0" w:space="0" w:color="auto"/>
            <w:right w:val="none" w:sz="0" w:space="0" w:color="auto"/>
          </w:divBdr>
        </w:div>
        <w:div w:id="1948779836">
          <w:marLeft w:val="0"/>
          <w:marRight w:val="0"/>
          <w:marTop w:val="0"/>
          <w:marBottom w:val="0"/>
          <w:divBdr>
            <w:top w:val="none" w:sz="0" w:space="0" w:color="auto"/>
            <w:left w:val="none" w:sz="0" w:space="0" w:color="auto"/>
            <w:bottom w:val="none" w:sz="0" w:space="0" w:color="auto"/>
            <w:right w:val="none" w:sz="0" w:space="0" w:color="auto"/>
          </w:divBdr>
        </w:div>
        <w:div w:id="1957329998">
          <w:marLeft w:val="0"/>
          <w:marRight w:val="0"/>
          <w:marTop w:val="0"/>
          <w:marBottom w:val="0"/>
          <w:divBdr>
            <w:top w:val="none" w:sz="0" w:space="0" w:color="auto"/>
            <w:left w:val="none" w:sz="0" w:space="0" w:color="auto"/>
            <w:bottom w:val="none" w:sz="0" w:space="0" w:color="auto"/>
            <w:right w:val="none" w:sz="0" w:space="0" w:color="auto"/>
          </w:divBdr>
        </w:div>
        <w:div w:id="1970746768">
          <w:marLeft w:val="0"/>
          <w:marRight w:val="0"/>
          <w:marTop w:val="0"/>
          <w:marBottom w:val="0"/>
          <w:divBdr>
            <w:top w:val="none" w:sz="0" w:space="0" w:color="auto"/>
            <w:left w:val="none" w:sz="0" w:space="0" w:color="auto"/>
            <w:bottom w:val="none" w:sz="0" w:space="0" w:color="auto"/>
            <w:right w:val="none" w:sz="0" w:space="0" w:color="auto"/>
          </w:divBdr>
        </w:div>
        <w:div w:id="1986659236">
          <w:marLeft w:val="0"/>
          <w:marRight w:val="0"/>
          <w:marTop w:val="0"/>
          <w:marBottom w:val="0"/>
          <w:divBdr>
            <w:top w:val="none" w:sz="0" w:space="0" w:color="auto"/>
            <w:left w:val="none" w:sz="0" w:space="0" w:color="auto"/>
            <w:bottom w:val="none" w:sz="0" w:space="0" w:color="auto"/>
            <w:right w:val="none" w:sz="0" w:space="0" w:color="auto"/>
          </w:divBdr>
        </w:div>
        <w:div w:id="2037000094">
          <w:marLeft w:val="0"/>
          <w:marRight w:val="0"/>
          <w:marTop w:val="0"/>
          <w:marBottom w:val="0"/>
          <w:divBdr>
            <w:top w:val="none" w:sz="0" w:space="0" w:color="auto"/>
            <w:left w:val="none" w:sz="0" w:space="0" w:color="auto"/>
            <w:bottom w:val="none" w:sz="0" w:space="0" w:color="auto"/>
            <w:right w:val="none" w:sz="0" w:space="0" w:color="auto"/>
          </w:divBdr>
        </w:div>
        <w:div w:id="2038850237">
          <w:marLeft w:val="0"/>
          <w:marRight w:val="0"/>
          <w:marTop w:val="0"/>
          <w:marBottom w:val="0"/>
          <w:divBdr>
            <w:top w:val="none" w:sz="0" w:space="0" w:color="auto"/>
            <w:left w:val="none" w:sz="0" w:space="0" w:color="auto"/>
            <w:bottom w:val="none" w:sz="0" w:space="0" w:color="auto"/>
            <w:right w:val="none" w:sz="0" w:space="0" w:color="auto"/>
          </w:divBdr>
        </w:div>
        <w:div w:id="2057117120">
          <w:marLeft w:val="0"/>
          <w:marRight w:val="0"/>
          <w:marTop w:val="0"/>
          <w:marBottom w:val="0"/>
          <w:divBdr>
            <w:top w:val="none" w:sz="0" w:space="0" w:color="auto"/>
            <w:left w:val="none" w:sz="0" w:space="0" w:color="auto"/>
            <w:bottom w:val="none" w:sz="0" w:space="0" w:color="auto"/>
            <w:right w:val="none" w:sz="0" w:space="0" w:color="auto"/>
          </w:divBdr>
        </w:div>
        <w:div w:id="2058963749">
          <w:marLeft w:val="0"/>
          <w:marRight w:val="0"/>
          <w:marTop w:val="0"/>
          <w:marBottom w:val="0"/>
          <w:divBdr>
            <w:top w:val="none" w:sz="0" w:space="0" w:color="auto"/>
            <w:left w:val="none" w:sz="0" w:space="0" w:color="auto"/>
            <w:bottom w:val="none" w:sz="0" w:space="0" w:color="auto"/>
            <w:right w:val="none" w:sz="0" w:space="0" w:color="auto"/>
          </w:divBdr>
        </w:div>
        <w:div w:id="2085175372">
          <w:marLeft w:val="0"/>
          <w:marRight w:val="0"/>
          <w:marTop w:val="0"/>
          <w:marBottom w:val="0"/>
          <w:divBdr>
            <w:top w:val="none" w:sz="0" w:space="0" w:color="auto"/>
            <w:left w:val="none" w:sz="0" w:space="0" w:color="auto"/>
            <w:bottom w:val="none" w:sz="0" w:space="0" w:color="auto"/>
            <w:right w:val="none" w:sz="0" w:space="0" w:color="auto"/>
          </w:divBdr>
        </w:div>
      </w:divsChild>
    </w:div>
    <w:div w:id="353917962">
      <w:bodyDiv w:val="1"/>
      <w:marLeft w:val="0"/>
      <w:marRight w:val="0"/>
      <w:marTop w:val="0"/>
      <w:marBottom w:val="0"/>
      <w:divBdr>
        <w:top w:val="none" w:sz="0" w:space="0" w:color="auto"/>
        <w:left w:val="none" w:sz="0" w:space="0" w:color="auto"/>
        <w:bottom w:val="none" w:sz="0" w:space="0" w:color="auto"/>
        <w:right w:val="none" w:sz="0" w:space="0" w:color="auto"/>
      </w:divBdr>
      <w:divsChild>
        <w:div w:id="3559603">
          <w:marLeft w:val="475"/>
          <w:marRight w:val="0"/>
          <w:marTop w:val="86"/>
          <w:marBottom w:val="120"/>
          <w:divBdr>
            <w:top w:val="none" w:sz="0" w:space="0" w:color="auto"/>
            <w:left w:val="none" w:sz="0" w:space="0" w:color="auto"/>
            <w:bottom w:val="none" w:sz="0" w:space="0" w:color="auto"/>
            <w:right w:val="none" w:sz="0" w:space="0" w:color="auto"/>
          </w:divBdr>
        </w:div>
        <w:div w:id="1436293170">
          <w:marLeft w:val="475"/>
          <w:marRight w:val="0"/>
          <w:marTop w:val="86"/>
          <w:marBottom w:val="120"/>
          <w:divBdr>
            <w:top w:val="none" w:sz="0" w:space="0" w:color="auto"/>
            <w:left w:val="none" w:sz="0" w:space="0" w:color="auto"/>
            <w:bottom w:val="none" w:sz="0" w:space="0" w:color="auto"/>
            <w:right w:val="none" w:sz="0" w:space="0" w:color="auto"/>
          </w:divBdr>
        </w:div>
        <w:div w:id="1682775269">
          <w:marLeft w:val="475"/>
          <w:marRight w:val="0"/>
          <w:marTop w:val="86"/>
          <w:marBottom w:val="120"/>
          <w:divBdr>
            <w:top w:val="none" w:sz="0" w:space="0" w:color="auto"/>
            <w:left w:val="none" w:sz="0" w:space="0" w:color="auto"/>
            <w:bottom w:val="none" w:sz="0" w:space="0" w:color="auto"/>
            <w:right w:val="none" w:sz="0" w:space="0" w:color="auto"/>
          </w:divBdr>
        </w:div>
      </w:divsChild>
    </w:div>
    <w:div w:id="365982889">
      <w:bodyDiv w:val="1"/>
      <w:marLeft w:val="0"/>
      <w:marRight w:val="0"/>
      <w:marTop w:val="0"/>
      <w:marBottom w:val="0"/>
      <w:divBdr>
        <w:top w:val="none" w:sz="0" w:space="0" w:color="auto"/>
        <w:left w:val="none" w:sz="0" w:space="0" w:color="auto"/>
        <w:bottom w:val="none" w:sz="0" w:space="0" w:color="auto"/>
        <w:right w:val="none" w:sz="0" w:space="0" w:color="auto"/>
      </w:divBdr>
      <w:divsChild>
        <w:div w:id="37630937">
          <w:marLeft w:val="475"/>
          <w:marRight w:val="0"/>
          <w:marTop w:val="86"/>
          <w:marBottom w:val="120"/>
          <w:divBdr>
            <w:top w:val="none" w:sz="0" w:space="0" w:color="auto"/>
            <w:left w:val="none" w:sz="0" w:space="0" w:color="auto"/>
            <w:bottom w:val="none" w:sz="0" w:space="0" w:color="auto"/>
            <w:right w:val="none" w:sz="0" w:space="0" w:color="auto"/>
          </w:divBdr>
        </w:div>
        <w:div w:id="76902650">
          <w:marLeft w:val="475"/>
          <w:marRight w:val="0"/>
          <w:marTop w:val="86"/>
          <w:marBottom w:val="120"/>
          <w:divBdr>
            <w:top w:val="none" w:sz="0" w:space="0" w:color="auto"/>
            <w:left w:val="none" w:sz="0" w:space="0" w:color="auto"/>
            <w:bottom w:val="none" w:sz="0" w:space="0" w:color="auto"/>
            <w:right w:val="none" w:sz="0" w:space="0" w:color="auto"/>
          </w:divBdr>
        </w:div>
      </w:divsChild>
    </w:div>
    <w:div w:id="394209916">
      <w:bodyDiv w:val="1"/>
      <w:marLeft w:val="0"/>
      <w:marRight w:val="0"/>
      <w:marTop w:val="0"/>
      <w:marBottom w:val="0"/>
      <w:divBdr>
        <w:top w:val="none" w:sz="0" w:space="0" w:color="auto"/>
        <w:left w:val="none" w:sz="0" w:space="0" w:color="auto"/>
        <w:bottom w:val="none" w:sz="0" w:space="0" w:color="auto"/>
        <w:right w:val="none" w:sz="0" w:space="0" w:color="auto"/>
      </w:divBdr>
      <w:divsChild>
        <w:div w:id="753434226">
          <w:marLeft w:val="0"/>
          <w:marRight w:val="0"/>
          <w:marTop w:val="0"/>
          <w:marBottom w:val="0"/>
          <w:divBdr>
            <w:top w:val="none" w:sz="0" w:space="0" w:color="auto"/>
            <w:left w:val="none" w:sz="0" w:space="0" w:color="auto"/>
            <w:bottom w:val="none" w:sz="0" w:space="0" w:color="auto"/>
            <w:right w:val="none" w:sz="0" w:space="0" w:color="auto"/>
          </w:divBdr>
          <w:divsChild>
            <w:div w:id="362635074">
              <w:marLeft w:val="0"/>
              <w:marRight w:val="0"/>
              <w:marTop w:val="0"/>
              <w:marBottom w:val="0"/>
              <w:divBdr>
                <w:top w:val="none" w:sz="0" w:space="0" w:color="auto"/>
                <w:left w:val="none" w:sz="0" w:space="0" w:color="auto"/>
                <w:bottom w:val="none" w:sz="0" w:space="0" w:color="auto"/>
                <w:right w:val="none" w:sz="0" w:space="0" w:color="auto"/>
              </w:divBdr>
            </w:div>
            <w:div w:id="723020899">
              <w:marLeft w:val="0"/>
              <w:marRight w:val="0"/>
              <w:marTop w:val="0"/>
              <w:marBottom w:val="0"/>
              <w:divBdr>
                <w:top w:val="none" w:sz="0" w:space="0" w:color="auto"/>
                <w:left w:val="none" w:sz="0" w:space="0" w:color="auto"/>
                <w:bottom w:val="none" w:sz="0" w:space="0" w:color="auto"/>
                <w:right w:val="none" w:sz="0" w:space="0" w:color="auto"/>
              </w:divBdr>
            </w:div>
            <w:div w:id="1790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2928">
      <w:bodyDiv w:val="1"/>
      <w:marLeft w:val="0"/>
      <w:marRight w:val="0"/>
      <w:marTop w:val="0"/>
      <w:marBottom w:val="0"/>
      <w:divBdr>
        <w:top w:val="none" w:sz="0" w:space="0" w:color="auto"/>
        <w:left w:val="none" w:sz="0" w:space="0" w:color="auto"/>
        <w:bottom w:val="none" w:sz="0" w:space="0" w:color="auto"/>
        <w:right w:val="none" w:sz="0" w:space="0" w:color="auto"/>
      </w:divBdr>
    </w:div>
    <w:div w:id="430392619">
      <w:bodyDiv w:val="1"/>
      <w:marLeft w:val="0"/>
      <w:marRight w:val="0"/>
      <w:marTop w:val="0"/>
      <w:marBottom w:val="0"/>
      <w:divBdr>
        <w:top w:val="none" w:sz="0" w:space="0" w:color="auto"/>
        <w:left w:val="none" w:sz="0" w:space="0" w:color="auto"/>
        <w:bottom w:val="none" w:sz="0" w:space="0" w:color="auto"/>
        <w:right w:val="none" w:sz="0" w:space="0" w:color="auto"/>
      </w:divBdr>
    </w:div>
    <w:div w:id="451368567">
      <w:bodyDiv w:val="1"/>
      <w:marLeft w:val="0"/>
      <w:marRight w:val="0"/>
      <w:marTop w:val="0"/>
      <w:marBottom w:val="0"/>
      <w:divBdr>
        <w:top w:val="none" w:sz="0" w:space="0" w:color="auto"/>
        <w:left w:val="none" w:sz="0" w:space="0" w:color="auto"/>
        <w:bottom w:val="none" w:sz="0" w:space="0" w:color="auto"/>
        <w:right w:val="none" w:sz="0" w:space="0" w:color="auto"/>
      </w:divBdr>
    </w:div>
    <w:div w:id="487861424">
      <w:bodyDiv w:val="1"/>
      <w:marLeft w:val="0"/>
      <w:marRight w:val="0"/>
      <w:marTop w:val="0"/>
      <w:marBottom w:val="0"/>
      <w:divBdr>
        <w:top w:val="none" w:sz="0" w:space="0" w:color="auto"/>
        <w:left w:val="none" w:sz="0" w:space="0" w:color="auto"/>
        <w:bottom w:val="none" w:sz="0" w:space="0" w:color="auto"/>
        <w:right w:val="none" w:sz="0" w:space="0" w:color="auto"/>
      </w:divBdr>
      <w:divsChild>
        <w:div w:id="97605145">
          <w:marLeft w:val="0"/>
          <w:marRight w:val="0"/>
          <w:marTop w:val="0"/>
          <w:marBottom w:val="0"/>
          <w:divBdr>
            <w:top w:val="none" w:sz="0" w:space="0" w:color="auto"/>
            <w:left w:val="none" w:sz="0" w:space="0" w:color="auto"/>
            <w:bottom w:val="none" w:sz="0" w:space="0" w:color="auto"/>
            <w:right w:val="none" w:sz="0" w:space="0" w:color="auto"/>
          </w:divBdr>
          <w:divsChild>
            <w:div w:id="1018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736">
      <w:bodyDiv w:val="1"/>
      <w:marLeft w:val="0"/>
      <w:marRight w:val="0"/>
      <w:marTop w:val="0"/>
      <w:marBottom w:val="0"/>
      <w:divBdr>
        <w:top w:val="none" w:sz="0" w:space="0" w:color="auto"/>
        <w:left w:val="none" w:sz="0" w:space="0" w:color="auto"/>
        <w:bottom w:val="none" w:sz="0" w:space="0" w:color="auto"/>
        <w:right w:val="none" w:sz="0" w:space="0" w:color="auto"/>
      </w:divBdr>
      <w:divsChild>
        <w:div w:id="1462961079">
          <w:marLeft w:val="0"/>
          <w:marRight w:val="0"/>
          <w:marTop w:val="0"/>
          <w:marBottom w:val="0"/>
          <w:divBdr>
            <w:top w:val="none" w:sz="0" w:space="0" w:color="auto"/>
            <w:left w:val="none" w:sz="0" w:space="0" w:color="auto"/>
            <w:bottom w:val="none" w:sz="0" w:space="0" w:color="auto"/>
            <w:right w:val="none" w:sz="0" w:space="0" w:color="auto"/>
          </w:divBdr>
          <w:divsChild>
            <w:div w:id="881865167">
              <w:marLeft w:val="0"/>
              <w:marRight w:val="0"/>
              <w:marTop w:val="0"/>
              <w:marBottom w:val="240"/>
              <w:divBdr>
                <w:top w:val="none" w:sz="0" w:space="0" w:color="auto"/>
                <w:left w:val="none" w:sz="0" w:space="0" w:color="auto"/>
                <w:bottom w:val="none" w:sz="0" w:space="0" w:color="auto"/>
                <w:right w:val="none" w:sz="0" w:space="0" w:color="auto"/>
              </w:divBdr>
            </w:div>
          </w:divsChild>
        </w:div>
        <w:div w:id="1534805185">
          <w:marLeft w:val="0"/>
          <w:marRight w:val="0"/>
          <w:marTop w:val="0"/>
          <w:marBottom w:val="0"/>
          <w:divBdr>
            <w:top w:val="none" w:sz="0" w:space="0" w:color="auto"/>
            <w:left w:val="none" w:sz="0" w:space="0" w:color="auto"/>
            <w:bottom w:val="none" w:sz="0" w:space="0" w:color="auto"/>
            <w:right w:val="none" w:sz="0" w:space="0" w:color="auto"/>
          </w:divBdr>
          <w:divsChild>
            <w:div w:id="93477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754508">
      <w:bodyDiv w:val="1"/>
      <w:marLeft w:val="0"/>
      <w:marRight w:val="0"/>
      <w:marTop w:val="0"/>
      <w:marBottom w:val="0"/>
      <w:divBdr>
        <w:top w:val="none" w:sz="0" w:space="0" w:color="auto"/>
        <w:left w:val="none" w:sz="0" w:space="0" w:color="auto"/>
        <w:bottom w:val="none" w:sz="0" w:space="0" w:color="auto"/>
        <w:right w:val="none" w:sz="0" w:space="0" w:color="auto"/>
      </w:divBdr>
    </w:div>
    <w:div w:id="526984394">
      <w:bodyDiv w:val="1"/>
      <w:marLeft w:val="0"/>
      <w:marRight w:val="0"/>
      <w:marTop w:val="0"/>
      <w:marBottom w:val="0"/>
      <w:divBdr>
        <w:top w:val="none" w:sz="0" w:space="0" w:color="auto"/>
        <w:left w:val="none" w:sz="0" w:space="0" w:color="auto"/>
        <w:bottom w:val="none" w:sz="0" w:space="0" w:color="auto"/>
        <w:right w:val="none" w:sz="0" w:space="0" w:color="auto"/>
      </w:divBdr>
      <w:divsChild>
        <w:div w:id="1783382111">
          <w:marLeft w:val="0"/>
          <w:marRight w:val="0"/>
          <w:marTop w:val="0"/>
          <w:marBottom w:val="0"/>
          <w:divBdr>
            <w:top w:val="none" w:sz="0" w:space="0" w:color="auto"/>
            <w:left w:val="none" w:sz="0" w:space="0" w:color="auto"/>
            <w:bottom w:val="none" w:sz="0" w:space="0" w:color="auto"/>
            <w:right w:val="none" w:sz="0" w:space="0" w:color="auto"/>
          </w:divBdr>
        </w:div>
      </w:divsChild>
    </w:div>
    <w:div w:id="547029618">
      <w:bodyDiv w:val="1"/>
      <w:marLeft w:val="0"/>
      <w:marRight w:val="0"/>
      <w:marTop w:val="0"/>
      <w:marBottom w:val="0"/>
      <w:divBdr>
        <w:top w:val="none" w:sz="0" w:space="0" w:color="auto"/>
        <w:left w:val="none" w:sz="0" w:space="0" w:color="auto"/>
        <w:bottom w:val="none" w:sz="0" w:space="0" w:color="auto"/>
        <w:right w:val="none" w:sz="0" w:space="0" w:color="auto"/>
      </w:divBdr>
    </w:div>
    <w:div w:id="569195007">
      <w:bodyDiv w:val="1"/>
      <w:marLeft w:val="0"/>
      <w:marRight w:val="0"/>
      <w:marTop w:val="0"/>
      <w:marBottom w:val="0"/>
      <w:divBdr>
        <w:top w:val="none" w:sz="0" w:space="0" w:color="auto"/>
        <w:left w:val="none" w:sz="0" w:space="0" w:color="auto"/>
        <w:bottom w:val="none" w:sz="0" w:space="0" w:color="auto"/>
        <w:right w:val="none" w:sz="0" w:space="0" w:color="auto"/>
      </w:divBdr>
    </w:div>
    <w:div w:id="604189647">
      <w:bodyDiv w:val="1"/>
      <w:marLeft w:val="0"/>
      <w:marRight w:val="0"/>
      <w:marTop w:val="0"/>
      <w:marBottom w:val="0"/>
      <w:divBdr>
        <w:top w:val="none" w:sz="0" w:space="0" w:color="auto"/>
        <w:left w:val="none" w:sz="0" w:space="0" w:color="auto"/>
        <w:bottom w:val="none" w:sz="0" w:space="0" w:color="auto"/>
        <w:right w:val="none" w:sz="0" w:space="0" w:color="auto"/>
      </w:divBdr>
      <w:divsChild>
        <w:div w:id="1232739658">
          <w:marLeft w:val="0"/>
          <w:marRight w:val="0"/>
          <w:marTop w:val="0"/>
          <w:marBottom w:val="0"/>
          <w:divBdr>
            <w:top w:val="none" w:sz="0" w:space="0" w:color="auto"/>
            <w:left w:val="none" w:sz="0" w:space="0" w:color="auto"/>
            <w:bottom w:val="none" w:sz="0" w:space="0" w:color="auto"/>
            <w:right w:val="none" w:sz="0" w:space="0" w:color="auto"/>
          </w:divBdr>
          <w:divsChild>
            <w:div w:id="2091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4051">
      <w:bodyDiv w:val="1"/>
      <w:marLeft w:val="0"/>
      <w:marRight w:val="0"/>
      <w:marTop w:val="0"/>
      <w:marBottom w:val="0"/>
      <w:divBdr>
        <w:top w:val="none" w:sz="0" w:space="0" w:color="auto"/>
        <w:left w:val="none" w:sz="0" w:space="0" w:color="auto"/>
        <w:bottom w:val="none" w:sz="0" w:space="0" w:color="auto"/>
        <w:right w:val="none" w:sz="0" w:space="0" w:color="auto"/>
      </w:divBdr>
      <w:divsChild>
        <w:div w:id="1461538425">
          <w:marLeft w:val="0"/>
          <w:marRight w:val="0"/>
          <w:marTop w:val="0"/>
          <w:marBottom w:val="0"/>
          <w:divBdr>
            <w:top w:val="none" w:sz="0" w:space="0" w:color="auto"/>
            <w:left w:val="none" w:sz="0" w:space="0" w:color="auto"/>
            <w:bottom w:val="none" w:sz="0" w:space="0" w:color="auto"/>
            <w:right w:val="none" w:sz="0" w:space="0" w:color="auto"/>
          </w:divBdr>
        </w:div>
      </w:divsChild>
    </w:div>
    <w:div w:id="609434994">
      <w:bodyDiv w:val="1"/>
      <w:marLeft w:val="0"/>
      <w:marRight w:val="0"/>
      <w:marTop w:val="0"/>
      <w:marBottom w:val="0"/>
      <w:divBdr>
        <w:top w:val="none" w:sz="0" w:space="0" w:color="auto"/>
        <w:left w:val="none" w:sz="0" w:space="0" w:color="auto"/>
        <w:bottom w:val="none" w:sz="0" w:space="0" w:color="auto"/>
        <w:right w:val="none" w:sz="0" w:space="0" w:color="auto"/>
      </w:divBdr>
      <w:divsChild>
        <w:div w:id="178354058">
          <w:marLeft w:val="0"/>
          <w:marRight w:val="0"/>
          <w:marTop w:val="0"/>
          <w:marBottom w:val="0"/>
          <w:divBdr>
            <w:top w:val="none" w:sz="0" w:space="0" w:color="auto"/>
            <w:left w:val="none" w:sz="0" w:space="0" w:color="auto"/>
            <w:bottom w:val="none" w:sz="0" w:space="0" w:color="auto"/>
            <w:right w:val="none" w:sz="0" w:space="0" w:color="auto"/>
          </w:divBdr>
        </w:div>
        <w:div w:id="651641075">
          <w:marLeft w:val="0"/>
          <w:marRight w:val="0"/>
          <w:marTop w:val="0"/>
          <w:marBottom w:val="0"/>
          <w:divBdr>
            <w:top w:val="none" w:sz="0" w:space="0" w:color="auto"/>
            <w:left w:val="none" w:sz="0" w:space="0" w:color="auto"/>
            <w:bottom w:val="none" w:sz="0" w:space="0" w:color="auto"/>
            <w:right w:val="none" w:sz="0" w:space="0" w:color="auto"/>
          </w:divBdr>
        </w:div>
        <w:div w:id="1020006650">
          <w:marLeft w:val="0"/>
          <w:marRight w:val="0"/>
          <w:marTop w:val="0"/>
          <w:marBottom w:val="0"/>
          <w:divBdr>
            <w:top w:val="none" w:sz="0" w:space="0" w:color="auto"/>
            <w:left w:val="none" w:sz="0" w:space="0" w:color="auto"/>
            <w:bottom w:val="none" w:sz="0" w:space="0" w:color="auto"/>
            <w:right w:val="none" w:sz="0" w:space="0" w:color="auto"/>
          </w:divBdr>
        </w:div>
        <w:div w:id="1090078642">
          <w:marLeft w:val="0"/>
          <w:marRight w:val="0"/>
          <w:marTop w:val="0"/>
          <w:marBottom w:val="0"/>
          <w:divBdr>
            <w:top w:val="none" w:sz="0" w:space="0" w:color="auto"/>
            <w:left w:val="none" w:sz="0" w:space="0" w:color="auto"/>
            <w:bottom w:val="none" w:sz="0" w:space="0" w:color="auto"/>
            <w:right w:val="none" w:sz="0" w:space="0" w:color="auto"/>
          </w:divBdr>
        </w:div>
        <w:div w:id="1152984630">
          <w:marLeft w:val="0"/>
          <w:marRight w:val="0"/>
          <w:marTop w:val="0"/>
          <w:marBottom w:val="0"/>
          <w:divBdr>
            <w:top w:val="none" w:sz="0" w:space="0" w:color="auto"/>
            <w:left w:val="none" w:sz="0" w:space="0" w:color="auto"/>
            <w:bottom w:val="none" w:sz="0" w:space="0" w:color="auto"/>
            <w:right w:val="none" w:sz="0" w:space="0" w:color="auto"/>
          </w:divBdr>
        </w:div>
        <w:div w:id="1649049082">
          <w:marLeft w:val="0"/>
          <w:marRight w:val="0"/>
          <w:marTop w:val="0"/>
          <w:marBottom w:val="0"/>
          <w:divBdr>
            <w:top w:val="none" w:sz="0" w:space="0" w:color="auto"/>
            <w:left w:val="none" w:sz="0" w:space="0" w:color="auto"/>
            <w:bottom w:val="none" w:sz="0" w:space="0" w:color="auto"/>
            <w:right w:val="none" w:sz="0" w:space="0" w:color="auto"/>
          </w:divBdr>
        </w:div>
        <w:div w:id="1848016109">
          <w:marLeft w:val="0"/>
          <w:marRight w:val="0"/>
          <w:marTop w:val="0"/>
          <w:marBottom w:val="0"/>
          <w:divBdr>
            <w:top w:val="none" w:sz="0" w:space="0" w:color="auto"/>
            <w:left w:val="none" w:sz="0" w:space="0" w:color="auto"/>
            <w:bottom w:val="none" w:sz="0" w:space="0" w:color="auto"/>
            <w:right w:val="none" w:sz="0" w:space="0" w:color="auto"/>
          </w:divBdr>
        </w:div>
      </w:divsChild>
    </w:div>
    <w:div w:id="632908526">
      <w:bodyDiv w:val="1"/>
      <w:marLeft w:val="0"/>
      <w:marRight w:val="0"/>
      <w:marTop w:val="0"/>
      <w:marBottom w:val="0"/>
      <w:divBdr>
        <w:top w:val="none" w:sz="0" w:space="0" w:color="auto"/>
        <w:left w:val="none" w:sz="0" w:space="0" w:color="auto"/>
        <w:bottom w:val="none" w:sz="0" w:space="0" w:color="auto"/>
        <w:right w:val="none" w:sz="0" w:space="0" w:color="auto"/>
      </w:divBdr>
      <w:divsChild>
        <w:div w:id="1339967390">
          <w:marLeft w:val="0"/>
          <w:marRight w:val="0"/>
          <w:marTop w:val="0"/>
          <w:marBottom w:val="0"/>
          <w:divBdr>
            <w:top w:val="none" w:sz="0" w:space="0" w:color="auto"/>
            <w:left w:val="none" w:sz="0" w:space="0" w:color="auto"/>
            <w:bottom w:val="none" w:sz="0" w:space="0" w:color="auto"/>
            <w:right w:val="none" w:sz="0" w:space="0" w:color="auto"/>
          </w:divBdr>
          <w:divsChild>
            <w:div w:id="16083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8765">
      <w:bodyDiv w:val="1"/>
      <w:marLeft w:val="0"/>
      <w:marRight w:val="0"/>
      <w:marTop w:val="0"/>
      <w:marBottom w:val="0"/>
      <w:divBdr>
        <w:top w:val="none" w:sz="0" w:space="0" w:color="auto"/>
        <w:left w:val="none" w:sz="0" w:space="0" w:color="auto"/>
        <w:bottom w:val="none" w:sz="0" w:space="0" w:color="auto"/>
        <w:right w:val="none" w:sz="0" w:space="0" w:color="auto"/>
      </w:divBdr>
    </w:div>
    <w:div w:id="676469721">
      <w:bodyDiv w:val="1"/>
      <w:marLeft w:val="0"/>
      <w:marRight w:val="0"/>
      <w:marTop w:val="0"/>
      <w:marBottom w:val="0"/>
      <w:divBdr>
        <w:top w:val="none" w:sz="0" w:space="0" w:color="auto"/>
        <w:left w:val="none" w:sz="0" w:space="0" w:color="auto"/>
        <w:bottom w:val="none" w:sz="0" w:space="0" w:color="auto"/>
        <w:right w:val="none" w:sz="0" w:space="0" w:color="auto"/>
      </w:divBdr>
    </w:div>
    <w:div w:id="702635283">
      <w:bodyDiv w:val="1"/>
      <w:marLeft w:val="0"/>
      <w:marRight w:val="0"/>
      <w:marTop w:val="0"/>
      <w:marBottom w:val="0"/>
      <w:divBdr>
        <w:top w:val="none" w:sz="0" w:space="0" w:color="auto"/>
        <w:left w:val="none" w:sz="0" w:space="0" w:color="auto"/>
        <w:bottom w:val="none" w:sz="0" w:space="0" w:color="auto"/>
        <w:right w:val="none" w:sz="0" w:space="0" w:color="auto"/>
      </w:divBdr>
      <w:divsChild>
        <w:div w:id="161050463">
          <w:marLeft w:val="0"/>
          <w:marRight w:val="0"/>
          <w:marTop w:val="0"/>
          <w:marBottom w:val="0"/>
          <w:divBdr>
            <w:top w:val="none" w:sz="0" w:space="0" w:color="auto"/>
            <w:left w:val="none" w:sz="0" w:space="0" w:color="auto"/>
            <w:bottom w:val="none" w:sz="0" w:space="0" w:color="auto"/>
            <w:right w:val="none" w:sz="0" w:space="0" w:color="auto"/>
          </w:divBdr>
        </w:div>
        <w:div w:id="1718120616">
          <w:marLeft w:val="0"/>
          <w:marRight w:val="0"/>
          <w:marTop w:val="0"/>
          <w:marBottom w:val="0"/>
          <w:divBdr>
            <w:top w:val="none" w:sz="0" w:space="0" w:color="auto"/>
            <w:left w:val="none" w:sz="0" w:space="0" w:color="auto"/>
            <w:bottom w:val="none" w:sz="0" w:space="0" w:color="auto"/>
            <w:right w:val="none" w:sz="0" w:space="0" w:color="auto"/>
          </w:divBdr>
        </w:div>
        <w:div w:id="2097088038">
          <w:marLeft w:val="0"/>
          <w:marRight w:val="0"/>
          <w:marTop w:val="0"/>
          <w:marBottom w:val="0"/>
          <w:divBdr>
            <w:top w:val="none" w:sz="0" w:space="0" w:color="auto"/>
            <w:left w:val="none" w:sz="0" w:space="0" w:color="auto"/>
            <w:bottom w:val="none" w:sz="0" w:space="0" w:color="auto"/>
            <w:right w:val="none" w:sz="0" w:space="0" w:color="auto"/>
          </w:divBdr>
        </w:div>
      </w:divsChild>
    </w:div>
    <w:div w:id="705451410">
      <w:bodyDiv w:val="1"/>
      <w:marLeft w:val="0"/>
      <w:marRight w:val="0"/>
      <w:marTop w:val="0"/>
      <w:marBottom w:val="0"/>
      <w:divBdr>
        <w:top w:val="none" w:sz="0" w:space="0" w:color="auto"/>
        <w:left w:val="none" w:sz="0" w:space="0" w:color="auto"/>
        <w:bottom w:val="none" w:sz="0" w:space="0" w:color="auto"/>
        <w:right w:val="none" w:sz="0" w:space="0" w:color="auto"/>
      </w:divBdr>
    </w:div>
    <w:div w:id="722480416">
      <w:bodyDiv w:val="1"/>
      <w:marLeft w:val="0"/>
      <w:marRight w:val="0"/>
      <w:marTop w:val="0"/>
      <w:marBottom w:val="0"/>
      <w:divBdr>
        <w:top w:val="none" w:sz="0" w:space="0" w:color="auto"/>
        <w:left w:val="none" w:sz="0" w:space="0" w:color="auto"/>
        <w:bottom w:val="none" w:sz="0" w:space="0" w:color="auto"/>
        <w:right w:val="none" w:sz="0" w:space="0" w:color="auto"/>
      </w:divBdr>
    </w:div>
    <w:div w:id="745958024">
      <w:bodyDiv w:val="1"/>
      <w:marLeft w:val="0"/>
      <w:marRight w:val="0"/>
      <w:marTop w:val="0"/>
      <w:marBottom w:val="0"/>
      <w:divBdr>
        <w:top w:val="none" w:sz="0" w:space="0" w:color="auto"/>
        <w:left w:val="none" w:sz="0" w:space="0" w:color="auto"/>
        <w:bottom w:val="none" w:sz="0" w:space="0" w:color="auto"/>
        <w:right w:val="none" w:sz="0" w:space="0" w:color="auto"/>
      </w:divBdr>
    </w:div>
    <w:div w:id="745997335">
      <w:bodyDiv w:val="1"/>
      <w:marLeft w:val="0"/>
      <w:marRight w:val="0"/>
      <w:marTop w:val="0"/>
      <w:marBottom w:val="0"/>
      <w:divBdr>
        <w:top w:val="none" w:sz="0" w:space="0" w:color="auto"/>
        <w:left w:val="none" w:sz="0" w:space="0" w:color="auto"/>
        <w:bottom w:val="none" w:sz="0" w:space="0" w:color="auto"/>
        <w:right w:val="none" w:sz="0" w:space="0" w:color="auto"/>
      </w:divBdr>
    </w:div>
    <w:div w:id="790132490">
      <w:bodyDiv w:val="1"/>
      <w:marLeft w:val="0"/>
      <w:marRight w:val="0"/>
      <w:marTop w:val="0"/>
      <w:marBottom w:val="0"/>
      <w:divBdr>
        <w:top w:val="none" w:sz="0" w:space="0" w:color="auto"/>
        <w:left w:val="none" w:sz="0" w:space="0" w:color="auto"/>
        <w:bottom w:val="none" w:sz="0" w:space="0" w:color="auto"/>
        <w:right w:val="none" w:sz="0" w:space="0" w:color="auto"/>
      </w:divBdr>
    </w:div>
    <w:div w:id="802770244">
      <w:bodyDiv w:val="1"/>
      <w:marLeft w:val="0"/>
      <w:marRight w:val="0"/>
      <w:marTop w:val="0"/>
      <w:marBottom w:val="0"/>
      <w:divBdr>
        <w:top w:val="none" w:sz="0" w:space="0" w:color="auto"/>
        <w:left w:val="none" w:sz="0" w:space="0" w:color="auto"/>
        <w:bottom w:val="none" w:sz="0" w:space="0" w:color="auto"/>
        <w:right w:val="none" w:sz="0" w:space="0" w:color="auto"/>
      </w:divBdr>
    </w:div>
    <w:div w:id="818813725">
      <w:bodyDiv w:val="1"/>
      <w:marLeft w:val="0"/>
      <w:marRight w:val="0"/>
      <w:marTop w:val="0"/>
      <w:marBottom w:val="0"/>
      <w:divBdr>
        <w:top w:val="none" w:sz="0" w:space="0" w:color="auto"/>
        <w:left w:val="none" w:sz="0" w:space="0" w:color="auto"/>
        <w:bottom w:val="none" w:sz="0" w:space="0" w:color="auto"/>
        <w:right w:val="none" w:sz="0" w:space="0" w:color="auto"/>
      </w:divBdr>
    </w:div>
    <w:div w:id="846601226">
      <w:bodyDiv w:val="1"/>
      <w:marLeft w:val="0"/>
      <w:marRight w:val="0"/>
      <w:marTop w:val="0"/>
      <w:marBottom w:val="0"/>
      <w:divBdr>
        <w:top w:val="none" w:sz="0" w:space="0" w:color="auto"/>
        <w:left w:val="none" w:sz="0" w:space="0" w:color="auto"/>
        <w:bottom w:val="none" w:sz="0" w:space="0" w:color="auto"/>
        <w:right w:val="none" w:sz="0" w:space="0" w:color="auto"/>
      </w:divBdr>
      <w:divsChild>
        <w:div w:id="1533768203">
          <w:marLeft w:val="0"/>
          <w:marRight w:val="0"/>
          <w:marTop w:val="0"/>
          <w:marBottom w:val="0"/>
          <w:divBdr>
            <w:top w:val="none" w:sz="0" w:space="0" w:color="auto"/>
            <w:left w:val="none" w:sz="0" w:space="0" w:color="auto"/>
            <w:bottom w:val="none" w:sz="0" w:space="0" w:color="auto"/>
            <w:right w:val="none" w:sz="0" w:space="0" w:color="auto"/>
          </w:divBdr>
          <w:divsChild>
            <w:div w:id="19561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872">
      <w:bodyDiv w:val="1"/>
      <w:marLeft w:val="0"/>
      <w:marRight w:val="0"/>
      <w:marTop w:val="0"/>
      <w:marBottom w:val="0"/>
      <w:divBdr>
        <w:top w:val="none" w:sz="0" w:space="0" w:color="auto"/>
        <w:left w:val="none" w:sz="0" w:space="0" w:color="auto"/>
        <w:bottom w:val="none" w:sz="0" w:space="0" w:color="auto"/>
        <w:right w:val="none" w:sz="0" w:space="0" w:color="auto"/>
      </w:divBdr>
    </w:div>
    <w:div w:id="848448014">
      <w:bodyDiv w:val="1"/>
      <w:marLeft w:val="0"/>
      <w:marRight w:val="0"/>
      <w:marTop w:val="0"/>
      <w:marBottom w:val="0"/>
      <w:divBdr>
        <w:top w:val="none" w:sz="0" w:space="0" w:color="auto"/>
        <w:left w:val="none" w:sz="0" w:space="0" w:color="auto"/>
        <w:bottom w:val="none" w:sz="0" w:space="0" w:color="auto"/>
        <w:right w:val="none" w:sz="0" w:space="0" w:color="auto"/>
      </w:divBdr>
      <w:divsChild>
        <w:div w:id="1366326275">
          <w:marLeft w:val="0"/>
          <w:marRight w:val="0"/>
          <w:marTop w:val="0"/>
          <w:marBottom w:val="0"/>
          <w:divBdr>
            <w:top w:val="none" w:sz="0" w:space="0" w:color="auto"/>
            <w:left w:val="none" w:sz="0" w:space="0" w:color="auto"/>
            <w:bottom w:val="none" w:sz="0" w:space="0" w:color="auto"/>
            <w:right w:val="none" w:sz="0" w:space="0" w:color="auto"/>
          </w:divBdr>
          <w:divsChild>
            <w:div w:id="590354189">
              <w:marLeft w:val="0"/>
              <w:marRight w:val="0"/>
              <w:marTop w:val="0"/>
              <w:marBottom w:val="0"/>
              <w:divBdr>
                <w:top w:val="none" w:sz="0" w:space="0" w:color="auto"/>
                <w:left w:val="none" w:sz="0" w:space="0" w:color="auto"/>
                <w:bottom w:val="none" w:sz="0" w:space="0" w:color="auto"/>
                <w:right w:val="none" w:sz="0" w:space="0" w:color="auto"/>
              </w:divBdr>
              <w:divsChild>
                <w:div w:id="228611176">
                  <w:marLeft w:val="0"/>
                  <w:marRight w:val="0"/>
                  <w:marTop w:val="0"/>
                  <w:marBottom w:val="0"/>
                  <w:divBdr>
                    <w:top w:val="none" w:sz="0" w:space="0" w:color="auto"/>
                    <w:left w:val="none" w:sz="0" w:space="0" w:color="auto"/>
                    <w:bottom w:val="none" w:sz="0" w:space="0" w:color="auto"/>
                    <w:right w:val="none" w:sz="0" w:space="0" w:color="auto"/>
                  </w:divBdr>
                  <w:divsChild>
                    <w:div w:id="591282224">
                      <w:marLeft w:val="0"/>
                      <w:marRight w:val="0"/>
                      <w:marTop w:val="0"/>
                      <w:marBottom w:val="0"/>
                      <w:divBdr>
                        <w:top w:val="none" w:sz="0" w:space="0" w:color="auto"/>
                        <w:left w:val="none" w:sz="0" w:space="0" w:color="auto"/>
                        <w:bottom w:val="none" w:sz="0" w:space="0" w:color="auto"/>
                        <w:right w:val="none" w:sz="0" w:space="0" w:color="auto"/>
                      </w:divBdr>
                    </w:div>
                  </w:divsChild>
                </w:div>
                <w:div w:id="709915180">
                  <w:marLeft w:val="0"/>
                  <w:marRight w:val="0"/>
                  <w:marTop w:val="0"/>
                  <w:marBottom w:val="0"/>
                  <w:divBdr>
                    <w:top w:val="none" w:sz="0" w:space="0" w:color="auto"/>
                    <w:left w:val="none" w:sz="0" w:space="0" w:color="auto"/>
                    <w:bottom w:val="none" w:sz="0" w:space="0" w:color="auto"/>
                    <w:right w:val="none" w:sz="0" w:space="0" w:color="auto"/>
                  </w:divBdr>
                  <w:divsChild>
                    <w:div w:id="1514806959">
                      <w:marLeft w:val="0"/>
                      <w:marRight w:val="0"/>
                      <w:marTop w:val="0"/>
                      <w:marBottom w:val="0"/>
                      <w:divBdr>
                        <w:top w:val="none" w:sz="0" w:space="0" w:color="auto"/>
                        <w:left w:val="none" w:sz="0" w:space="0" w:color="auto"/>
                        <w:bottom w:val="none" w:sz="0" w:space="0" w:color="auto"/>
                        <w:right w:val="none" w:sz="0" w:space="0" w:color="auto"/>
                      </w:divBdr>
                    </w:div>
                  </w:divsChild>
                </w:div>
                <w:div w:id="1476222157">
                  <w:marLeft w:val="0"/>
                  <w:marRight w:val="0"/>
                  <w:marTop w:val="0"/>
                  <w:marBottom w:val="0"/>
                  <w:divBdr>
                    <w:top w:val="none" w:sz="0" w:space="0" w:color="auto"/>
                    <w:left w:val="none" w:sz="0" w:space="0" w:color="auto"/>
                    <w:bottom w:val="none" w:sz="0" w:space="0" w:color="auto"/>
                    <w:right w:val="none" w:sz="0" w:space="0" w:color="auto"/>
                  </w:divBdr>
                  <w:divsChild>
                    <w:div w:id="18858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2180">
      <w:bodyDiv w:val="1"/>
      <w:marLeft w:val="0"/>
      <w:marRight w:val="0"/>
      <w:marTop w:val="0"/>
      <w:marBottom w:val="0"/>
      <w:divBdr>
        <w:top w:val="none" w:sz="0" w:space="0" w:color="auto"/>
        <w:left w:val="none" w:sz="0" w:space="0" w:color="auto"/>
        <w:bottom w:val="none" w:sz="0" w:space="0" w:color="auto"/>
        <w:right w:val="none" w:sz="0" w:space="0" w:color="auto"/>
      </w:divBdr>
      <w:divsChild>
        <w:div w:id="2036616542">
          <w:marLeft w:val="0"/>
          <w:marRight w:val="0"/>
          <w:marTop w:val="0"/>
          <w:marBottom w:val="0"/>
          <w:divBdr>
            <w:top w:val="none" w:sz="0" w:space="0" w:color="auto"/>
            <w:left w:val="none" w:sz="0" w:space="0" w:color="auto"/>
            <w:bottom w:val="none" w:sz="0" w:space="0" w:color="auto"/>
            <w:right w:val="none" w:sz="0" w:space="0" w:color="auto"/>
          </w:divBdr>
          <w:divsChild>
            <w:div w:id="14130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6505">
      <w:bodyDiv w:val="1"/>
      <w:marLeft w:val="0"/>
      <w:marRight w:val="0"/>
      <w:marTop w:val="0"/>
      <w:marBottom w:val="0"/>
      <w:divBdr>
        <w:top w:val="none" w:sz="0" w:space="0" w:color="auto"/>
        <w:left w:val="none" w:sz="0" w:space="0" w:color="auto"/>
        <w:bottom w:val="none" w:sz="0" w:space="0" w:color="auto"/>
        <w:right w:val="none" w:sz="0" w:space="0" w:color="auto"/>
      </w:divBdr>
    </w:div>
    <w:div w:id="887886259">
      <w:bodyDiv w:val="1"/>
      <w:marLeft w:val="0"/>
      <w:marRight w:val="0"/>
      <w:marTop w:val="0"/>
      <w:marBottom w:val="0"/>
      <w:divBdr>
        <w:top w:val="none" w:sz="0" w:space="0" w:color="auto"/>
        <w:left w:val="none" w:sz="0" w:space="0" w:color="auto"/>
        <w:bottom w:val="none" w:sz="0" w:space="0" w:color="auto"/>
        <w:right w:val="none" w:sz="0" w:space="0" w:color="auto"/>
      </w:divBdr>
      <w:divsChild>
        <w:div w:id="1717970754">
          <w:marLeft w:val="0"/>
          <w:marRight w:val="0"/>
          <w:marTop w:val="0"/>
          <w:marBottom w:val="0"/>
          <w:divBdr>
            <w:top w:val="none" w:sz="0" w:space="0" w:color="auto"/>
            <w:left w:val="none" w:sz="0" w:space="0" w:color="auto"/>
            <w:bottom w:val="none" w:sz="0" w:space="0" w:color="auto"/>
            <w:right w:val="none" w:sz="0" w:space="0" w:color="auto"/>
          </w:divBdr>
          <w:divsChild>
            <w:div w:id="3514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4047">
      <w:bodyDiv w:val="1"/>
      <w:marLeft w:val="0"/>
      <w:marRight w:val="0"/>
      <w:marTop w:val="0"/>
      <w:marBottom w:val="0"/>
      <w:divBdr>
        <w:top w:val="none" w:sz="0" w:space="0" w:color="auto"/>
        <w:left w:val="none" w:sz="0" w:space="0" w:color="auto"/>
        <w:bottom w:val="none" w:sz="0" w:space="0" w:color="auto"/>
        <w:right w:val="none" w:sz="0" w:space="0" w:color="auto"/>
      </w:divBdr>
    </w:div>
    <w:div w:id="908884062">
      <w:bodyDiv w:val="1"/>
      <w:marLeft w:val="0"/>
      <w:marRight w:val="0"/>
      <w:marTop w:val="0"/>
      <w:marBottom w:val="0"/>
      <w:divBdr>
        <w:top w:val="none" w:sz="0" w:space="0" w:color="auto"/>
        <w:left w:val="none" w:sz="0" w:space="0" w:color="auto"/>
        <w:bottom w:val="none" w:sz="0" w:space="0" w:color="auto"/>
        <w:right w:val="none" w:sz="0" w:space="0" w:color="auto"/>
      </w:divBdr>
    </w:div>
    <w:div w:id="917058327">
      <w:bodyDiv w:val="1"/>
      <w:marLeft w:val="0"/>
      <w:marRight w:val="0"/>
      <w:marTop w:val="0"/>
      <w:marBottom w:val="0"/>
      <w:divBdr>
        <w:top w:val="none" w:sz="0" w:space="0" w:color="auto"/>
        <w:left w:val="none" w:sz="0" w:space="0" w:color="auto"/>
        <w:bottom w:val="none" w:sz="0" w:space="0" w:color="auto"/>
        <w:right w:val="none" w:sz="0" w:space="0" w:color="auto"/>
      </w:divBdr>
    </w:div>
    <w:div w:id="91832143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33">
          <w:marLeft w:val="0"/>
          <w:marRight w:val="0"/>
          <w:marTop w:val="0"/>
          <w:marBottom w:val="0"/>
          <w:divBdr>
            <w:top w:val="none" w:sz="0" w:space="0" w:color="auto"/>
            <w:left w:val="none" w:sz="0" w:space="0" w:color="auto"/>
            <w:bottom w:val="none" w:sz="0" w:space="0" w:color="auto"/>
            <w:right w:val="none" w:sz="0" w:space="0" w:color="auto"/>
          </w:divBdr>
        </w:div>
      </w:divsChild>
    </w:div>
    <w:div w:id="943265627">
      <w:bodyDiv w:val="1"/>
      <w:marLeft w:val="0"/>
      <w:marRight w:val="0"/>
      <w:marTop w:val="0"/>
      <w:marBottom w:val="0"/>
      <w:divBdr>
        <w:top w:val="none" w:sz="0" w:space="0" w:color="auto"/>
        <w:left w:val="none" w:sz="0" w:space="0" w:color="auto"/>
        <w:bottom w:val="none" w:sz="0" w:space="0" w:color="auto"/>
        <w:right w:val="none" w:sz="0" w:space="0" w:color="auto"/>
      </w:divBdr>
    </w:div>
    <w:div w:id="954287909">
      <w:bodyDiv w:val="1"/>
      <w:marLeft w:val="0"/>
      <w:marRight w:val="0"/>
      <w:marTop w:val="0"/>
      <w:marBottom w:val="0"/>
      <w:divBdr>
        <w:top w:val="none" w:sz="0" w:space="0" w:color="auto"/>
        <w:left w:val="none" w:sz="0" w:space="0" w:color="auto"/>
        <w:bottom w:val="none" w:sz="0" w:space="0" w:color="auto"/>
        <w:right w:val="none" w:sz="0" w:space="0" w:color="auto"/>
      </w:divBdr>
      <w:divsChild>
        <w:div w:id="1283461446">
          <w:marLeft w:val="0"/>
          <w:marRight w:val="0"/>
          <w:marTop w:val="0"/>
          <w:marBottom w:val="0"/>
          <w:divBdr>
            <w:top w:val="none" w:sz="0" w:space="0" w:color="auto"/>
            <w:left w:val="none" w:sz="0" w:space="0" w:color="auto"/>
            <w:bottom w:val="none" w:sz="0" w:space="0" w:color="auto"/>
            <w:right w:val="none" w:sz="0" w:space="0" w:color="auto"/>
          </w:divBdr>
        </w:div>
        <w:div w:id="1463814574">
          <w:marLeft w:val="0"/>
          <w:marRight w:val="0"/>
          <w:marTop w:val="0"/>
          <w:marBottom w:val="0"/>
          <w:divBdr>
            <w:top w:val="none" w:sz="0" w:space="0" w:color="auto"/>
            <w:left w:val="none" w:sz="0" w:space="0" w:color="auto"/>
            <w:bottom w:val="none" w:sz="0" w:space="0" w:color="auto"/>
            <w:right w:val="none" w:sz="0" w:space="0" w:color="auto"/>
          </w:divBdr>
        </w:div>
        <w:div w:id="1489133040">
          <w:marLeft w:val="0"/>
          <w:marRight w:val="0"/>
          <w:marTop w:val="0"/>
          <w:marBottom w:val="0"/>
          <w:divBdr>
            <w:top w:val="none" w:sz="0" w:space="0" w:color="auto"/>
            <w:left w:val="none" w:sz="0" w:space="0" w:color="auto"/>
            <w:bottom w:val="none" w:sz="0" w:space="0" w:color="auto"/>
            <w:right w:val="none" w:sz="0" w:space="0" w:color="auto"/>
          </w:divBdr>
        </w:div>
        <w:div w:id="1822303577">
          <w:marLeft w:val="0"/>
          <w:marRight w:val="0"/>
          <w:marTop w:val="0"/>
          <w:marBottom w:val="0"/>
          <w:divBdr>
            <w:top w:val="none" w:sz="0" w:space="0" w:color="auto"/>
            <w:left w:val="none" w:sz="0" w:space="0" w:color="auto"/>
            <w:bottom w:val="none" w:sz="0" w:space="0" w:color="auto"/>
            <w:right w:val="none" w:sz="0" w:space="0" w:color="auto"/>
          </w:divBdr>
        </w:div>
      </w:divsChild>
    </w:div>
    <w:div w:id="965353923">
      <w:bodyDiv w:val="1"/>
      <w:marLeft w:val="0"/>
      <w:marRight w:val="0"/>
      <w:marTop w:val="0"/>
      <w:marBottom w:val="0"/>
      <w:divBdr>
        <w:top w:val="none" w:sz="0" w:space="0" w:color="auto"/>
        <w:left w:val="none" w:sz="0" w:space="0" w:color="auto"/>
        <w:bottom w:val="none" w:sz="0" w:space="0" w:color="auto"/>
        <w:right w:val="none" w:sz="0" w:space="0" w:color="auto"/>
      </w:divBdr>
    </w:div>
    <w:div w:id="971785489">
      <w:bodyDiv w:val="1"/>
      <w:marLeft w:val="0"/>
      <w:marRight w:val="0"/>
      <w:marTop w:val="0"/>
      <w:marBottom w:val="0"/>
      <w:divBdr>
        <w:top w:val="none" w:sz="0" w:space="0" w:color="auto"/>
        <w:left w:val="none" w:sz="0" w:space="0" w:color="auto"/>
        <w:bottom w:val="none" w:sz="0" w:space="0" w:color="auto"/>
        <w:right w:val="none" w:sz="0" w:space="0" w:color="auto"/>
      </w:divBdr>
    </w:div>
    <w:div w:id="974524240">
      <w:bodyDiv w:val="1"/>
      <w:marLeft w:val="0"/>
      <w:marRight w:val="0"/>
      <w:marTop w:val="0"/>
      <w:marBottom w:val="0"/>
      <w:divBdr>
        <w:top w:val="none" w:sz="0" w:space="0" w:color="auto"/>
        <w:left w:val="none" w:sz="0" w:space="0" w:color="auto"/>
        <w:bottom w:val="none" w:sz="0" w:space="0" w:color="auto"/>
        <w:right w:val="none" w:sz="0" w:space="0" w:color="auto"/>
      </w:divBdr>
      <w:divsChild>
        <w:div w:id="183833129">
          <w:marLeft w:val="0"/>
          <w:marRight w:val="0"/>
          <w:marTop w:val="0"/>
          <w:marBottom w:val="0"/>
          <w:divBdr>
            <w:top w:val="none" w:sz="0" w:space="0" w:color="auto"/>
            <w:left w:val="none" w:sz="0" w:space="0" w:color="auto"/>
            <w:bottom w:val="none" w:sz="0" w:space="0" w:color="auto"/>
            <w:right w:val="none" w:sz="0" w:space="0" w:color="auto"/>
          </w:divBdr>
          <w:divsChild>
            <w:div w:id="6048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51055">
      <w:bodyDiv w:val="1"/>
      <w:marLeft w:val="0"/>
      <w:marRight w:val="0"/>
      <w:marTop w:val="0"/>
      <w:marBottom w:val="0"/>
      <w:divBdr>
        <w:top w:val="none" w:sz="0" w:space="0" w:color="auto"/>
        <w:left w:val="none" w:sz="0" w:space="0" w:color="auto"/>
        <w:bottom w:val="none" w:sz="0" w:space="0" w:color="auto"/>
        <w:right w:val="none" w:sz="0" w:space="0" w:color="auto"/>
      </w:divBdr>
    </w:div>
    <w:div w:id="995035340">
      <w:bodyDiv w:val="1"/>
      <w:marLeft w:val="0"/>
      <w:marRight w:val="0"/>
      <w:marTop w:val="0"/>
      <w:marBottom w:val="0"/>
      <w:divBdr>
        <w:top w:val="none" w:sz="0" w:space="0" w:color="auto"/>
        <w:left w:val="none" w:sz="0" w:space="0" w:color="auto"/>
        <w:bottom w:val="none" w:sz="0" w:space="0" w:color="auto"/>
        <w:right w:val="none" w:sz="0" w:space="0" w:color="auto"/>
      </w:divBdr>
    </w:div>
    <w:div w:id="996231066">
      <w:bodyDiv w:val="1"/>
      <w:marLeft w:val="0"/>
      <w:marRight w:val="0"/>
      <w:marTop w:val="0"/>
      <w:marBottom w:val="0"/>
      <w:divBdr>
        <w:top w:val="none" w:sz="0" w:space="0" w:color="auto"/>
        <w:left w:val="none" w:sz="0" w:space="0" w:color="auto"/>
        <w:bottom w:val="none" w:sz="0" w:space="0" w:color="auto"/>
        <w:right w:val="none" w:sz="0" w:space="0" w:color="auto"/>
      </w:divBdr>
    </w:div>
    <w:div w:id="1031998167">
      <w:bodyDiv w:val="1"/>
      <w:marLeft w:val="0"/>
      <w:marRight w:val="0"/>
      <w:marTop w:val="0"/>
      <w:marBottom w:val="0"/>
      <w:divBdr>
        <w:top w:val="none" w:sz="0" w:space="0" w:color="auto"/>
        <w:left w:val="none" w:sz="0" w:space="0" w:color="auto"/>
        <w:bottom w:val="none" w:sz="0" w:space="0" w:color="auto"/>
        <w:right w:val="none" w:sz="0" w:space="0" w:color="auto"/>
      </w:divBdr>
    </w:div>
    <w:div w:id="1033306761">
      <w:bodyDiv w:val="1"/>
      <w:marLeft w:val="0"/>
      <w:marRight w:val="0"/>
      <w:marTop w:val="0"/>
      <w:marBottom w:val="0"/>
      <w:divBdr>
        <w:top w:val="none" w:sz="0" w:space="0" w:color="auto"/>
        <w:left w:val="none" w:sz="0" w:space="0" w:color="auto"/>
        <w:bottom w:val="none" w:sz="0" w:space="0" w:color="auto"/>
        <w:right w:val="none" w:sz="0" w:space="0" w:color="auto"/>
      </w:divBdr>
    </w:div>
    <w:div w:id="1065297026">
      <w:bodyDiv w:val="1"/>
      <w:marLeft w:val="0"/>
      <w:marRight w:val="0"/>
      <w:marTop w:val="0"/>
      <w:marBottom w:val="0"/>
      <w:divBdr>
        <w:top w:val="none" w:sz="0" w:space="0" w:color="auto"/>
        <w:left w:val="none" w:sz="0" w:space="0" w:color="auto"/>
        <w:bottom w:val="none" w:sz="0" w:space="0" w:color="auto"/>
        <w:right w:val="none" w:sz="0" w:space="0" w:color="auto"/>
      </w:divBdr>
    </w:div>
    <w:div w:id="1068652161">
      <w:bodyDiv w:val="1"/>
      <w:marLeft w:val="0"/>
      <w:marRight w:val="0"/>
      <w:marTop w:val="0"/>
      <w:marBottom w:val="0"/>
      <w:divBdr>
        <w:top w:val="none" w:sz="0" w:space="0" w:color="auto"/>
        <w:left w:val="none" w:sz="0" w:space="0" w:color="auto"/>
        <w:bottom w:val="none" w:sz="0" w:space="0" w:color="auto"/>
        <w:right w:val="none" w:sz="0" w:space="0" w:color="auto"/>
      </w:divBdr>
    </w:div>
    <w:div w:id="1070882521">
      <w:bodyDiv w:val="1"/>
      <w:marLeft w:val="0"/>
      <w:marRight w:val="0"/>
      <w:marTop w:val="0"/>
      <w:marBottom w:val="0"/>
      <w:divBdr>
        <w:top w:val="none" w:sz="0" w:space="0" w:color="auto"/>
        <w:left w:val="none" w:sz="0" w:space="0" w:color="auto"/>
        <w:bottom w:val="none" w:sz="0" w:space="0" w:color="auto"/>
        <w:right w:val="none" w:sz="0" w:space="0" w:color="auto"/>
      </w:divBdr>
      <w:divsChild>
        <w:div w:id="1308633379">
          <w:marLeft w:val="0"/>
          <w:marRight w:val="0"/>
          <w:marTop w:val="0"/>
          <w:marBottom w:val="0"/>
          <w:divBdr>
            <w:top w:val="none" w:sz="0" w:space="0" w:color="auto"/>
            <w:left w:val="none" w:sz="0" w:space="0" w:color="auto"/>
            <w:bottom w:val="none" w:sz="0" w:space="0" w:color="auto"/>
            <w:right w:val="none" w:sz="0" w:space="0" w:color="auto"/>
          </w:divBdr>
          <w:divsChild>
            <w:div w:id="1199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280">
      <w:bodyDiv w:val="1"/>
      <w:marLeft w:val="0"/>
      <w:marRight w:val="0"/>
      <w:marTop w:val="0"/>
      <w:marBottom w:val="0"/>
      <w:divBdr>
        <w:top w:val="none" w:sz="0" w:space="0" w:color="auto"/>
        <w:left w:val="none" w:sz="0" w:space="0" w:color="auto"/>
        <w:bottom w:val="none" w:sz="0" w:space="0" w:color="auto"/>
        <w:right w:val="none" w:sz="0" w:space="0" w:color="auto"/>
      </w:divBdr>
      <w:divsChild>
        <w:div w:id="522206518">
          <w:marLeft w:val="475"/>
          <w:marRight w:val="0"/>
          <w:marTop w:val="86"/>
          <w:marBottom w:val="120"/>
          <w:divBdr>
            <w:top w:val="none" w:sz="0" w:space="0" w:color="auto"/>
            <w:left w:val="none" w:sz="0" w:space="0" w:color="auto"/>
            <w:bottom w:val="none" w:sz="0" w:space="0" w:color="auto"/>
            <w:right w:val="none" w:sz="0" w:space="0" w:color="auto"/>
          </w:divBdr>
        </w:div>
        <w:div w:id="1735662665">
          <w:marLeft w:val="475"/>
          <w:marRight w:val="0"/>
          <w:marTop w:val="86"/>
          <w:marBottom w:val="120"/>
          <w:divBdr>
            <w:top w:val="none" w:sz="0" w:space="0" w:color="auto"/>
            <w:left w:val="none" w:sz="0" w:space="0" w:color="auto"/>
            <w:bottom w:val="none" w:sz="0" w:space="0" w:color="auto"/>
            <w:right w:val="none" w:sz="0" w:space="0" w:color="auto"/>
          </w:divBdr>
        </w:div>
        <w:div w:id="1786776538">
          <w:marLeft w:val="475"/>
          <w:marRight w:val="0"/>
          <w:marTop w:val="86"/>
          <w:marBottom w:val="120"/>
          <w:divBdr>
            <w:top w:val="none" w:sz="0" w:space="0" w:color="auto"/>
            <w:left w:val="none" w:sz="0" w:space="0" w:color="auto"/>
            <w:bottom w:val="none" w:sz="0" w:space="0" w:color="auto"/>
            <w:right w:val="none" w:sz="0" w:space="0" w:color="auto"/>
          </w:divBdr>
        </w:div>
      </w:divsChild>
    </w:div>
    <w:div w:id="1083527239">
      <w:bodyDiv w:val="1"/>
      <w:marLeft w:val="0"/>
      <w:marRight w:val="0"/>
      <w:marTop w:val="0"/>
      <w:marBottom w:val="0"/>
      <w:divBdr>
        <w:top w:val="none" w:sz="0" w:space="0" w:color="auto"/>
        <w:left w:val="none" w:sz="0" w:space="0" w:color="auto"/>
        <w:bottom w:val="none" w:sz="0" w:space="0" w:color="auto"/>
        <w:right w:val="none" w:sz="0" w:space="0" w:color="auto"/>
      </w:divBdr>
      <w:divsChild>
        <w:div w:id="441265822">
          <w:marLeft w:val="0"/>
          <w:marRight w:val="0"/>
          <w:marTop w:val="0"/>
          <w:marBottom w:val="0"/>
          <w:divBdr>
            <w:top w:val="none" w:sz="0" w:space="0" w:color="auto"/>
            <w:left w:val="none" w:sz="0" w:space="0" w:color="auto"/>
            <w:bottom w:val="none" w:sz="0" w:space="0" w:color="auto"/>
            <w:right w:val="none" w:sz="0" w:space="0" w:color="auto"/>
          </w:divBdr>
        </w:div>
        <w:div w:id="2042392248">
          <w:marLeft w:val="0"/>
          <w:marRight w:val="0"/>
          <w:marTop w:val="0"/>
          <w:marBottom w:val="0"/>
          <w:divBdr>
            <w:top w:val="none" w:sz="0" w:space="0" w:color="auto"/>
            <w:left w:val="none" w:sz="0" w:space="0" w:color="auto"/>
            <w:bottom w:val="none" w:sz="0" w:space="0" w:color="auto"/>
            <w:right w:val="none" w:sz="0" w:space="0" w:color="auto"/>
          </w:divBdr>
        </w:div>
      </w:divsChild>
    </w:div>
    <w:div w:id="1084837144">
      <w:bodyDiv w:val="1"/>
      <w:marLeft w:val="0"/>
      <w:marRight w:val="0"/>
      <w:marTop w:val="0"/>
      <w:marBottom w:val="0"/>
      <w:divBdr>
        <w:top w:val="none" w:sz="0" w:space="0" w:color="auto"/>
        <w:left w:val="none" w:sz="0" w:space="0" w:color="auto"/>
        <w:bottom w:val="none" w:sz="0" w:space="0" w:color="auto"/>
        <w:right w:val="none" w:sz="0" w:space="0" w:color="auto"/>
      </w:divBdr>
    </w:div>
    <w:div w:id="1086609354">
      <w:bodyDiv w:val="1"/>
      <w:marLeft w:val="0"/>
      <w:marRight w:val="0"/>
      <w:marTop w:val="0"/>
      <w:marBottom w:val="0"/>
      <w:divBdr>
        <w:top w:val="none" w:sz="0" w:space="0" w:color="auto"/>
        <w:left w:val="none" w:sz="0" w:space="0" w:color="auto"/>
        <w:bottom w:val="none" w:sz="0" w:space="0" w:color="auto"/>
        <w:right w:val="none" w:sz="0" w:space="0" w:color="auto"/>
      </w:divBdr>
      <w:divsChild>
        <w:div w:id="1710957684">
          <w:marLeft w:val="0"/>
          <w:marRight w:val="0"/>
          <w:marTop w:val="0"/>
          <w:marBottom w:val="300"/>
          <w:divBdr>
            <w:top w:val="none" w:sz="0" w:space="0" w:color="auto"/>
            <w:left w:val="none" w:sz="0" w:space="0" w:color="auto"/>
            <w:bottom w:val="none" w:sz="0" w:space="0" w:color="auto"/>
            <w:right w:val="none" w:sz="0" w:space="0" w:color="auto"/>
          </w:divBdr>
        </w:div>
        <w:div w:id="1746608058">
          <w:marLeft w:val="0"/>
          <w:marRight w:val="0"/>
          <w:marTop w:val="180"/>
          <w:marBottom w:val="0"/>
          <w:divBdr>
            <w:top w:val="none" w:sz="0" w:space="0" w:color="auto"/>
            <w:left w:val="none" w:sz="0" w:space="0" w:color="auto"/>
            <w:bottom w:val="none" w:sz="0" w:space="0" w:color="auto"/>
            <w:right w:val="none" w:sz="0" w:space="0" w:color="auto"/>
          </w:divBdr>
          <w:divsChild>
            <w:div w:id="2487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4680">
      <w:bodyDiv w:val="1"/>
      <w:marLeft w:val="0"/>
      <w:marRight w:val="0"/>
      <w:marTop w:val="0"/>
      <w:marBottom w:val="0"/>
      <w:divBdr>
        <w:top w:val="none" w:sz="0" w:space="0" w:color="auto"/>
        <w:left w:val="none" w:sz="0" w:space="0" w:color="auto"/>
        <w:bottom w:val="none" w:sz="0" w:space="0" w:color="auto"/>
        <w:right w:val="none" w:sz="0" w:space="0" w:color="auto"/>
      </w:divBdr>
      <w:divsChild>
        <w:div w:id="298414273">
          <w:marLeft w:val="0"/>
          <w:marRight w:val="0"/>
          <w:marTop w:val="0"/>
          <w:marBottom w:val="0"/>
          <w:divBdr>
            <w:top w:val="none" w:sz="0" w:space="0" w:color="auto"/>
            <w:left w:val="none" w:sz="0" w:space="0" w:color="auto"/>
            <w:bottom w:val="none" w:sz="0" w:space="0" w:color="auto"/>
            <w:right w:val="none" w:sz="0" w:space="0" w:color="auto"/>
          </w:divBdr>
          <w:divsChild>
            <w:div w:id="14553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139">
      <w:bodyDiv w:val="1"/>
      <w:marLeft w:val="0"/>
      <w:marRight w:val="0"/>
      <w:marTop w:val="0"/>
      <w:marBottom w:val="0"/>
      <w:divBdr>
        <w:top w:val="none" w:sz="0" w:space="0" w:color="auto"/>
        <w:left w:val="none" w:sz="0" w:space="0" w:color="auto"/>
        <w:bottom w:val="none" w:sz="0" w:space="0" w:color="auto"/>
        <w:right w:val="none" w:sz="0" w:space="0" w:color="auto"/>
      </w:divBdr>
    </w:div>
    <w:div w:id="1146974210">
      <w:bodyDiv w:val="1"/>
      <w:marLeft w:val="0"/>
      <w:marRight w:val="0"/>
      <w:marTop w:val="0"/>
      <w:marBottom w:val="0"/>
      <w:divBdr>
        <w:top w:val="none" w:sz="0" w:space="0" w:color="auto"/>
        <w:left w:val="none" w:sz="0" w:space="0" w:color="auto"/>
        <w:bottom w:val="none" w:sz="0" w:space="0" w:color="auto"/>
        <w:right w:val="none" w:sz="0" w:space="0" w:color="auto"/>
      </w:divBdr>
    </w:div>
    <w:div w:id="1148590915">
      <w:bodyDiv w:val="1"/>
      <w:marLeft w:val="0"/>
      <w:marRight w:val="0"/>
      <w:marTop w:val="0"/>
      <w:marBottom w:val="0"/>
      <w:divBdr>
        <w:top w:val="none" w:sz="0" w:space="0" w:color="auto"/>
        <w:left w:val="none" w:sz="0" w:space="0" w:color="auto"/>
        <w:bottom w:val="none" w:sz="0" w:space="0" w:color="auto"/>
        <w:right w:val="none" w:sz="0" w:space="0" w:color="auto"/>
      </w:divBdr>
    </w:div>
    <w:div w:id="1155030427">
      <w:bodyDiv w:val="1"/>
      <w:marLeft w:val="0"/>
      <w:marRight w:val="0"/>
      <w:marTop w:val="0"/>
      <w:marBottom w:val="0"/>
      <w:divBdr>
        <w:top w:val="none" w:sz="0" w:space="0" w:color="auto"/>
        <w:left w:val="none" w:sz="0" w:space="0" w:color="auto"/>
        <w:bottom w:val="none" w:sz="0" w:space="0" w:color="auto"/>
        <w:right w:val="none" w:sz="0" w:space="0" w:color="auto"/>
      </w:divBdr>
    </w:div>
    <w:div w:id="1181696313">
      <w:bodyDiv w:val="1"/>
      <w:marLeft w:val="0"/>
      <w:marRight w:val="0"/>
      <w:marTop w:val="0"/>
      <w:marBottom w:val="0"/>
      <w:divBdr>
        <w:top w:val="none" w:sz="0" w:space="0" w:color="auto"/>
        <w:left w:val="none" w:sz="0" w:space="0" w:color="auto"/>
        <w:bottom w:val="none" w:sz="0" w:space="0" w:color="auto"/>
        <w:right w:val="none" w:sz="0" w:space="0" w:color="auto"/>
      </w:divBdr>
    </w:div>
    <w:div w:id="1197817093">
      <w:bodyDiv w:val="1"/>
      <w:marLeft w:val="0"/>
      <w:marRight w:val="0"/>
      <w:marTop w:val="0"/>
      <w:marBottom w:val="0"/>
      <w:divBdr>
        <w:top w:val="none" w:sz="0" w:space="0" w:color="auto"/>
        <w:left w:val="none" w:sz="0" w:space="0" w:color="auto"/>
        <w:bottom w:val="none" w:sz="0" w:space="0" w:color="auto"/>
        <w:right w:val="none" w:sz="0" w:space="0" w:color="auto"/>
      </w:divBdr>
      <w:divsChild>
        <w:div w:id="305939719">
          <w:marLeft w:val="0"/>
          <w:marRight w:val="0"/>
          <w:marTop w:val="0"/>
          <w:marBottom w:val="0"/>
          <w:divBdr>
            <w:top w:val="none" w:sz="0" w:space="0" w:color="auto"/>
            <w:left w:val="none" w:sz="0" w:space="0" w:color="auto"/>
            <w:bottom w:val="none" w:sz="0" w:space="0" w:color="auto"/>
            <w:right w:val="none" w:sz="0" w:space="0" w:color="auto"/>
          </w:divBdr>
        </w:div>
        <w:div w:id="376052886">
          <w:marLeft w:val="0"/>
          <w:marRight w:val="0"/>
          <w:marTop w:val="0"/>
          <w:marBottom w:val="0"/>
          <w:divBdr>
            <w:top w:val="none" w:sz="0" w:space="0" w:color="auto"/>
            <w:left w:val="none" w:sz="0" w:space="0" w:color="auto"/>
            <w:bottom w:val="none" w:sz="0" w:space="0" w:color="auto"/>
            <w:right w:val="none" w:sz="0" w:space="0" w:color="auto"/>
          </w:divBdr>
        </w:div>
        <w:div w:id="1007948823">
          <w:marLeft w:val="0"/>
          <w:marRight w:val="0"/>
          <w:marTop w:val="0"/>
          <w:marBottom w:val="0"/>
          <w:divBdr>
            <w:top w:val="none" w:sz="0" w:space="0" w:color="auto"/>
            <w:left w:val="none" w:sz="0" w:space="0" w:color="auto"/>
            <w:bottom w:val="none" w:sz="0" w:space="0" w:color="auto"/>
            <w:right w:val="none" w:sz="0" w:space="0" w:color="auto"/>
          </w:divBdr>
        </w:div>
        <w:div w:id="1347051924">
          <w:marLeft w:val="0"/>
          <w:marRight w:val="0"/>
          <w:marTop w:val="0"/>
          <w:marBottom w:val="0"/>
          <w:divBdr>
            <w:top w:val="none" w:sz="0" w:space="0" w:color="auto"/>
            <w:left w:val="none" w:sz="0" w:space="0" w:color="auto"/>
            <w:bottom w:val="none" w:sz="0" w:space="0" w:color="auto"/>
            <w:right w:val="none" w:sz="0" w:space="0" w:color="auto"/>
          </w:divBdr>
        </w:div>
        <w:div w:id="1473984383">
          <w:marLeft w:val="0"/>
          <w:marRight w:val="0"/>
          <w:marTop w:val="0"/>
          <w:marBottom w:val="0"/>
          <w:divBdr>
            <w:top w:val="none" w:sz="0" w:space="0" w:color="auto"/>
            <w:left w:val="none" w:sz="0" w:space="0" w:color="auto"/>
            <w:bottom w:val="none" w:sz="0" w:space="0" w:color="auto"/>
            <w:right w:val="none" w:sz="0" w:space="0" w:color="auto"/>
          </w:divBdr>
        </w:div>
      </w:divsChild>
    </w:div>
    <w:div w:id="1265381314">
      <w:bodyDiv w:val="1"/>
      <w:marLeft w:val="0"/>
      <w:marRight w:val="0"/>
      <w:marTop w:val="0"/>
      <w:marBottom w:val="0"/>
      <w:divBdr>
        <w:top w:val="none" w:sz="0" w:space="0" w:color="auto"/>
        <w:left w:val="none" w:sz="0" w:space="0" w:color="auto"/>
        <w:bottom w:val="none" w:sz="0" w:space="0" w:color="auto"/>
        <w:right w:val="none" w:sz="0" w:space="0" w:color="auto"/>
      </w:divBdr>
      <w:divsChild>
        <w:div w:id="1751076037">
          <w:marLeft w:val="0"/>
          <w:marRight w:val="0"/>
          <w:marTop w:val="0"/>
          <w:marBottom w:val="0"/>
          <w:divBdr>
            <w:top w:val="none" w:sz="0" w:space="0" w:color="auto"/>
            <w:left w:val="none" w:sz="0" w:space="0" w:color="auto"/>
            <w:bottom w:val="none" w:sz="0" w:space="0" w:color="auto"/>
            <w:right w:val="none" w:sz="0" w:space="0" w:color="auto"/>
          </w:divBdr>
          <w:divsChild>
            <w:div w:id="12878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4021">
      <w:bodyDiv w:val="1"/>
      <w:marLeft w:val="0"/>
      <w:marRight w:val="0"/>
      <w:marTop w:val="0"/>
      <w:marBottom w:val="0"/>
      <w:divBdr>
        <w:top w:val="none" w:sz="0" w:space="0" w:color="auto"/>
        <w:left w:val="none" w:sz="0" w:space="0" w:color="auto"/>
        <w:bottom w:val="none" w:sz="0" w:space="0" w:color="auto"/>
        <w:right w:val="none" w:sz="0" w:space="0" w:color="auto"/>
      </w:divBdr>
      <w:divsChild>
        <w:div w:id="119424235">
          <w:marLeft w:val="0"/>
          <w:marRight w:val="0"/>
          <w:marTop w:val="0"/>
          <w:marBottom w:val="0"/>
          <w:divBdr>
            <w:top w:val="none" w:sz="0" w:space="0" w:color="auto"/>
            <w:left w:val="none" w:sz="0" w:space="0" w:color="auto"/>
            <w:bottom w:val="none" w:sz="0" w:space="0" w:color="auto"/>
            <w:right w:val="none" w:sz="0" w:space="0" w:color="auto"/>
          </w:divBdr>
        </w:div>
        <w:div w:id="175777615">
          <w:marLeft w:val="0"/>
          <w:marRight w:val="0"/>
          <w:marTop w:val="0"/>
          <w:marBottom w:val="0"/>
          <w:divBdr>
            <w:top w:val="none" w:sz="0" w:space="0" w:color="auto"/>
            <w:left w:val="none" w:sz="0" w:space="0" w:color="auto"/>
            <w:bottom w:val="none" w:sz="0" w:space="0" w:color="auto"/>
            <w:right w:val="none" w:sz="0" w:space="0" w:color="auto"/>
          </w:divBdr>
        </w:div>
        <w:div w:id="564607329">
          <w:marLeft w:val="0"/>
          <w:marRight w:val="0"/>
          <w:marTop w:val="0"/>
          <w:marBottom w:val="0"/>
          <w:divBdr>
            <w:top w:val="none" w:sz="0" w:space="0" w:color="auto"/>
            <w:left w:val="none" w:sz="0" w:space="0" w:color="auto"/>
            <w:bottom w:val="none" w:sz="0" w:space="0" w:color="auto"/>
            <w:right w:val="none" w:sz="0" w:space="0" w:color="auto"/>
          </w:divBdr>
        </w:div>
        <w:div w:id="1369187647">
          <w:marLeft w:val="0"/>
          <w:marRight w:val="0"/>
          <w:marTop w:val="0"/>
          <w:marBottom w:val="0"/>
          <w:divBdr>
            <w:top w:val="none" w:sz="0" w:space="0" w:color="auto"/>
            <w:left w:val="none" w:sz="0" w:space="0" w:color="auto"/>
            <w:bottom w:val="none" w:sz="0" w:space="0" w:color="auto"/>
            <w:right w:val="none" w:sz="0" w:space="0" w:color="auto"/>
          </w:divBdr>
        </w:div>
      </w:divsChild>
    </w:div>
    <w:div w:id="1305965357">
      <w:bodyDiv w:val="1"/>
      <w:marLeft w:val="0"/>
      <w:marRight w:val="0"/>
      <w:marTop w:val="0"/>
      <w:marBottom w:val="0"/>
      <w:divBdr>
        <w:top w:val="none" w:sz="0" w:space="0" w:color="auto"/>
        <w:left w:val="none" w:sz="0" w:space="0" w:color="auto"/>
        <w:bottom w:val="none" w:sz="0" w:space="0" w:color="auto"/>
        <w:right w:val="none" w:sz="0" w:space="0" w:color="auto"/>
      </w:divBdr>
      <w:divsChild>
        <w:div w:id="87165835">
          <w:marLeft w:val="0"/>
          <w:marRight w:val="0"/>
          <w:marTop w:val="0"/>
          <w:marBottom w:val="0"/>
          <w:divBdr>
            <w:top w:val="none" w:sz="0" w:space="0" w:color="auto"/>
            <w:left w:val="none" w:sz="0" w:space="0" w:color="auto"/>
            <w:bottom w:val="none" w:sz="0" w:space="0" w:color="auto"/>
            <w:right w:val="none" w:sz="0" w:space="0" w:color="auto"/>
          </w:divBdr>
        </w:div>
      </w:divsChild>
    </w:div>
    <w:div w:id="1308700517">
      <w:bodyDiv w:val="1"/>
      <w:marLeft w:val="0"/>
      <w:marRight w:val="0"/>
      <w:marTop w:val="0"/>
      <w:marBottom w:val="0"/>
      <w:divBdr>
        <w:top w:val="none" w:sz="0" w:space="0" w:color="auto"/>
        <w:left w:val="none" w:sz="0" w:space="0" w:color="auto"/>
        <w:bottom w:val="none" w:sz="0" w:space="0" w:color="auto"/>
        <w:right w:val="none" w:sz="0" w:space="0" w:color="auto"/>
      </w:divBdr>
      <w:divsChild>
        <w:div w:id="605305932">
          <w:marLeft w:val="0"/>
          <w:marRight w:val="0"/>
          <w:marTop w:val="0"/>
          <w:marBottom w:val="0"/>
          <w:divBdr>
            <w:top w:val="none" w:sz="0" w:space="0" w:color="auto"/>
            <w:left w:val="none" w:sz="0" w:space="0" w:color="auto"/>
            <w:bottom w:val="none" w:sz="0" w:space="0" w:color="auto"/>
            <w:right w:val="none" w:sz="0" w:space="0" w:color="auto"/>
          </w:divBdr>
        </w:div>
      </w:divsChild>
    </w:div>
    <w:div w:id="1319770094">
      <w:bodyDiv w:val="1"/>
      <w:marLeft w:val="0"/>
      <w:marRight w:val="0"/>
      <w:marTop w:val="0"/>
      <w:marBottom w:val="0"/>
      <w:divBdr>
        <w:top w:val="none" w:sz="0" w:space="0" w:color="auto"/>
        <w:left w:val="none" w:sz="0" w:space="0" w:color="auto"/>
        <w:bottom w:val="none" w:sz="0" w:space="0" w:color="auto"/>
        <w:right w:val="none" w:sz="0" w:space="0" w:color="auto"/>
      </w:divBdr>
    </w:div>
    <w:div w:id="1335642385">
      <w:bodyDiv w:val="1"/>
      <w:marLeft w:val="0"/>
      <w:marRight w:val="0"/>
      <w:marTop w:val="0"/>
      <w:marBottom w:val="0"/>
      <w:divBdr>
        <w:top w:val="none" w:sz="0" w:space="0" w:color="auto"/>
        <w:left w:val="none" w:sz="0" w:space="0" w:color="auto"/>
        <w:bottom w:val="none" w:sz="0" w:space="0" w:color="auto"/>
        <w:right w:val="none" w:sz="0" w:space="0" w:color="auto"/>
      </w:divBdr>
    </w:div>
    <w:div w:id="1359239538">
      <w:bodyDiv w:val="1"/>
      <w:marLeft w:val="0"/>
      <w:marRight w:val="0"/>
      <w:marTop w:val="0"/>
      <w:marBottom w:val="0"/>
      <w:divBdr>
        <w:top w:val="none" w:sz="0" w:space="0" w:color="auto"/>
        <w:left w:val="none" w:sz="0" w:space="0" w:color="auto"/>
        <w:bottom w:val="none" w:sz="0" w:space="0" w:color="auto"/>
        <w:right w:val="none" w:sz="0" w:space="0" w:color="auto"/>
      </w:divBdr>
      <w:divsChild>
        <w:div w:id="1629894845">
          <w:marLeft w:val="0"/>
          <w:marRight w:val="0"/>
          <w:marTop w:val="0"/>
          <w:marBottom w:val="0"/>
          <w:divBdr>
            <w:top w:val="none" w:sz="0" w:space="0" w:color="auto"/>
            <w:left w:val="none" w:sz="0" w:space="0" w:color="auto"/>
            <w:bottom w:val="none" w:sz="0" w:space="0" w:color="auto"/>
            <w:right w:val="none" w:sz="0" w:space="0" w:color="auto"/>
          </w:divBdr>
          <w:divsChild>
            <w:div w:id="259802686">
              <w:marLeft w:val="0"/>
              <w:marRight w:val="0"/>
              <w:marTop w:val="0"/>
              <w:marBottom w:val="0"/>
              <w:divBdr>
                <w:top w:val="none" w:sz="0" w:space="0" w:color="auto"/>
                <w:left w:val="none" w:sz="0" w:space="0" w:color="auto"/>
                <w:bottom w:val="none" w:sz="0" w:space="0" w:color="auto"/>
                <w:right w:val="none" w:sz="0" w:space="0" w:color="auto"/>
              </w:divBdr>
            </w:div>
            <w:div w:id="1217273982">
              <w:marLeft w:val="0"/>
              <w:marRight w:val="0"/>
              <w:marTop w:val="0"/>
              <w:marBottom w:val="0"/>
              <w:divBdr>
                <w:top w:val="none" w:sz="0" w:space="0" w:color="auto"/>
                <w:left w:val="none" w:sz="0" w:space="0" w:color="auto"/>
                <w:bottom w:val="none" w:sz="0" w:space="0" w:color="auto"/>
                <w:right w:val="none" w:sz="0" w:space="0" w:color="auto"/>
              </w:divBdr>
            </w:div>
            <w:div w:id="12412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1457">
      <w:bodyDiv w:val="1"/>
      <w:marLeft w:val="0"/>
      <w:marRight w:val="0"/>
      <w:marTop w:val="0"/>
      <w:marBottom w:val="0"/>
      <w:divBdr>
        <w:top w:val="none" w:sz="0" w:space="0" w:color="auto"/>
        <w:left w:val="none" w:sz="0" w:space="0" w:color="auto"/>
        <w:bottom w:val="none" w:sz="0" w:space="0" w:color="auto"/>
        <w:right w:val="none" w:sz="0" w:space="0" w:color="auto"/>
      </w:divBdr>
    </w:div>
    <w:div w:id="1383600674">
      <w:bodyDiv w:val="1"/>
      <w:marLeft w:val="0"/>
      <w:marRight w:val="0"/>
      <w:marTop w:val="0"/>
      <w:marBottom w:val="0"/>
      <w:divBdr>
        <w:top w:val="none" w:sz="0" w:space="0" w:color="auto"/>
        <w:left w:val="none" w:sz="0" w:space="0" w:color="auto"/>
        <w:bottom w:val="none" w:sz="0" w:space="0" w:color="auto"/>
        <w:right w:val="none" w:sz="0" w:space="0" w:color="auto"/>
      </w:divBdr>
    </w:div>
    <w:div w:id="1387610921">
      <w:bodyDiv w:val="1"/>
      <w:marLeft w:val="0"/>
      <w:marRight w:val="0"/>
      <w:marTop w:val="0"/>
      <w:marBottom w:val="0"/>
      <w:divBdr>
        <w:top w:val="none" w:sz="0" w:space="0" w:color="auto"/>
        <w:left w:val="none" w:sz="0" w:space="0" w:color="auto"/>
        <w:bottom w:val="none" w:sz="0" w:space="0" w:color="auto"/>
        <w:right w:val="none" w:sz="0" w:space="0" w:color="auto"/>
      </w:divBdr>
      <w:divsChild>
        <w:div w:id="158933033">
          <w:marLeft w:val="0"/>
          <w:marRight w:val="0"/>
          <w:marTop w:val="0"/>
          <w:marBottom w:val="0"/>
          <w:divBdr>
            <w:top w:val="none" w:sz="0" w:space="0" w:color="auto"/>
            <w:left w:val="none" w:sz="0" w:space="0" w:color="auto"/>
            <w:bottom w:val="none" w:sz="0" w:space="0" w:color="auto"/>
            <w:right w:val="none" w:sz="0" w:space="0" w:color="auto"/>
          </w:divBdr>
          <w:divsChild>
            <w:div w:id="15269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3755">
      <w:bodyDiv w:val="1"/>
      <w:marLeft w:val="0"/>
      <w:marRight w:val="0"/>
      <w:marTop w:val="0"/>
      <w:marBottom w:val="0"/>
      <w:divBdr>
        <w:top w:val="none" w:sz="0" w:space="0" w:color="auto"/>
        <w:left w:val="none" w:sz="0" w:space="0" w:color="auto"/>
        <w:bottom w:val="none" w:sz="0" w:space="0" w:color="auto"/>
        <w:right w:val="none" w:sz="0" w:space="0" w:color="auto"/>
      </w:divBdr>
    </w:div>
    <w:div w:id="1402480833">
      <w:bodyDiv w:val="1"/>
      <w:marLeft w:val="0"/>
      <w:marRight w:val="0"/>
      <w:marTop w:val="0"/>
      <w:marBottom w:val="0"/>
      <w:divBdr>
        <w:top w:val="none" w:sz="0" w:space="0" w:color="auto"/>
        <w:left w:val="none" w:sz="0" w:space="0" w:color="auto"/>
        <w:bottom w:val="none" w:sz="0" w:space="0" w:color="auto"/>
        <w:right w:val="none" w:sz="0" w:space="0" w:color="auto"/>
      </w:divBdr>
      <w:divsChild>
        <w:div w:id="567300461">
          <w:marLeft w:val="0"/>
          <w:marRight w:val="0"/>
          <w:marTop w:val="0"/>
          <w:marBottom w:val="0"/>
          <w:divBdr>
            <w:top w:val="none" w:sz="0" w:space="0" w:color="auto"/>
            <w:left w:val="none" w:sz="0" w:space="0" w:color="auto"/>
            <w:bottom w:val="none" w:sz="0" w:space="0" w:color="auto"/>
            <w:right w:val="none" w:sz="0" w:space="0" w:color="auto"/>
          </w:divBdr>
          <w:divsChild>
            <w:div w:id="21010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2540">
      <w:bodyDiv w:val="1"/>
      <w:marLeft w:val="0"/>
      <w:marRight w:val="0"/>
      <w:marTop w:val="0"/>
      <w:marBottom w:val="0"/>
      <w:divBdr>
        <w:top w:val="none" w:sz="0" w:space="0" w:color="auto"/>
        <w:left w:val="none" w:sz="0" w:space="0" w:color="auto"/>
        <w:bottom w:val="none" w:sz="0" w:space="0" w:color="auto"/>
        <w:right w:val="none" w:sz="0" w:space="0" w:color="auto"/>
      </w:divBdr>
    </w:div>
    <w:div w:id="1424456877">
      <w:bodyDiv w:val="1"/>
      <w:marLeft w:val="0"/>
      <w:marRight w:val="0"/>
      <w:marTop w:val="0"/>
      <w:marBottom w:val="0"/>
      <w:divBdr>
        <w:top w:val="none" w:sz="0" w:space="0" w:color="auto"/>
        <w:left w:val="none" w:sz="0" w:space="0" w:color="auto"/>
        <w:bottom w:val="none" w:sz="0" w:space="0" w:color="auto"/>
        <w:right w:val="none" w:sz="0" w:space="0" w:color="auto"/>
      </w:divBdr>
    </w:div>
    <w:div w:id="1425801344">
      <w:bodyDiv w:val="1"/>
      <w:marLeft w:val="0"/>
      <w:marRight w:val="0"/>
      <w:marTop w:val="0"/>
      <w:marBottom w:val="0"/>
      <w:divBdr>
        <w:top w:val="none" w:sz="0" w:space="0" w:color="auto"/>
        <w:left w:val="none" w:sz="0" w:space="0" w:color="auto"/>
        <w:bottom w:val="none" w:sz="0" w:space="0" w:color="auto"/>
        <w:right w:val="none" w:sz="0" w:space="0" w:color="auto"/>
      </w:divBdr>
    </w:div>
    <w:div w:id="1426996173">
      <w:bodyDiv w:val="1"/>
      <w:marLeft w:val="0"/>
      <w:marRight w:val="0"/>
      <w:marTop w:val="0"/>
      <w:marBottom w:val="0"/>
      <w:divBdr>
        <w:top w:val="none" w:sz="0" w:space="0" w:color="auto"/>
        <w:left w:val="none" w:sz="0" w:space="0" w:color="auto"/>
        <w:bottom w:val="none" w:sz="0" w:space="0" w:color="auto"/>
        <w:right w:val="none" w:sz="0" w:space="0" w:color="auto"/>
      </w:divBdr>
      <w:divsChild>
        <w:div w:id="1132553645">
          <w:marLeft w:val="0"/>
          <w:marRight w:val="0"/>
          <w:marTop w:val="0"/>
          <w:marBottom w:val="0"/>
          <w:divBdr>
            <w:top w:val="none" w:sz="0" w:space="0" w:color="auto"/>
            <w:left w:val="none" w:sz="0" w:space="0" w:color="auto"/>
            <w:bottom w:val="none" w:sz="0" w:space="0" w:color="auto"/>
            <w:right w:val="none" w:sz="0" w:space="0" w:color="auto"/>
          </w:divBdr>
          <w:divsChild>
            <w:div w:id="1172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00029">
      <w:bodyDiv w:val="1"/>
      <w:marLeft w:val="0"/>
      <w:marRight w:val="0"/>
      <w:marTop w:val="0"/>
      <w:marBottom w:val="0"/>
      <w:divBdr>
        <w:top w:val="none" w:sz="0" w:space="0" w:color="auto"/>
        <w:left w:val="none" w:sz="0" w:space="0" w:color="auto"/>
        <w:bottom w:val="none" w:sz="0" w:space="0" w:color="auto"/>
        <w:right w:val="none" w:sz="0" w:space="0" w:color="auto"/>
      </w:divBdr>
    </w:div>
    <w:div w:id="1443912828">
      <w:bodyDiv w:val="1"/>
      <w:marLeft w:val="0"/>
      <w:marRight w:val="0"/>
      <w:marTop w:val="0"/>
      <w:marBottom w:val="0"/>
      <w:divBdr>
        <w:top w:val="none" w:sz="0" w:space="0" w:color="auto"/>
        <w:left w:val="none" w:sz="0" w:space="0" w:color="auto"/>
        <w:bottom w:val="none" w:sz="0" w:space="0" w:color="auto"/>
        <w:right w:val="none" w:sz="0" w:space="0" w:color="auto"/>
      </w:divBdr>
    </w:div>
    <w:div w:id="1451822194">
      <w:bodyDiv w:val="1"/>
      <w:marLeft w:val="0"/>
      <w:marRight w:val="0"/>
      <w:marTop w:val="0"/>
      <w:marBottom w:val="0"/>
      <w:divBdr>
        <w:top w:val="none" w:sz="0" w:space="0" w:color="auto"/>
        <w:left w:val="none" w:sz="0" w:space="0" w:color="auto"/>
        <w:bottom w:val="none" w:sz="0" w:space="0" w:color="auto"/>
        <w:right w:val="none" w:sz="0" w:space="0" w:color="auto"/>
      </w:divBdr>
    </w:div>
    <w:div w:id="1461726788">
      <w:bodyDiv w:val="1"/>
      <w:marLeft w:val="0"/>
      <w:marRight w:val="0"/>
      <w:marTop w:val="0"/>
      <w:marBottom w:val="0"/>
      <w:divBdr>
        <w:top w:val="none" w:sz="0" w:space="0" w:color="auto"/>
        <w:left w:val="none" w:sz="0" w:space="0" w:color="auto"/>
        <w:bottom w:val="none" w:sz="0" w:space="0" w:color="auto"/>
        <w:right w:val="none" w:sz="0" w:space="0" w:color="auto"/>
      </w:divBdr>
    </w:div>
    <w:div w:id="1461801096">
      <w:bodyDiv w:val="1"/>
      <w:marLeft w:val="0"/>
      <w:marRight w:val="0"/>
      <w:marTop w:val="0"/>
      <w:marBottom w:val="0"/>
      <w:divBdr>
        <w:top w:val="none" w:sz="0" w:space="0" w:color="auto"/>
        <w:left w:val="none" w:sz="0" w:space="0" w:color="auto"/>
        <w:bottom w:val="none" w:sz="0" w:space="0" w:color="auto"/>
        <w:right w:val="none" w:sz="0" w:space="0" w:color="auto"/>
      </w:divBdr>
    </w:div>
    <w:div w:id="1475639616">
      <w:bodyDiv w:val="1"/>
      <w:marLeft w:val="0"/>
      <w:marRight w:val="0"/>
      <w:marTop w:val="0"/>
      <w:marBottom w:val="0"/>
      <w:divBdr>
        <w:top w:val="none" w:sz="0" w:space="0" w:color="auto"/>
        <w:left w:val="none" w:sz="0" w:space="0" w:color="auto"/>
        <w:bottom w:val="none" w:sz="0" w:space="0" w:color="auto"/>
        <w:right w:val="none" w:sz="0" w:space="0" w:color="auto"/>
      </w:divBdr>
    </w:div>
    <w:div w:id="1518957275">
      <w:bodyDiv w:val="1"/>
      <w:marLeft w:val="0"/>
      <w:marRight w:val="0"/>
      <w:marTop w:val="0"/>
      <w:marBottom w:val="0"/>
      <w:divBdr>
        <w:top w:val="none" w:sz="0" w:space="0" w:color="auto"/>
        <w:left w:val="none" w:sz="0" w:space="0" w:color="auto"/>
        <w:bottom w:val="none" w:sz="0" w:space="0" w:color="auto"/>
        <w:right w:val="none" w:sz="0" w:space="0" w:color="auto"/>
      </w:divBdr>
    </w:div>
    <w:div w:id="1538739088">
      <w:bodyDiv w:val="1"/>
      <w:marLeft w:val="0"/>
      <w:marRight w:val="0"/>
      <w:marTop w:val="0"/>
      <w:marBottom w:val="0"/>
      <w:divBdr>
        <w:top w:val="none" w:sz="0" w:space="0" w:color="auto"/>
        <w:left w:val="none" w:sz="0" w:space="0" w:color="auto"/>
        <w:bottom w:val="none" w:sz="0" w:space="0" w:color="auto"/>
        <w:right w:val="none" w:sz="0" w:space="0" w:color="auto"/>
      </w:divBdr>
      <w:divsChild>
        <w:div w:id="52853991">
          <w:marLeft w:val="0"/>
          <w:marRight w:val="0"/>
          <w:marTop w:val="0"/>
          <w:marBottom w:val="0"/>
          <w:divBdr>
            <w:top w:val="none" w:sz="0" w:space="0" w:color="auto"/>
            <w:left w:val="none" w:sz="0" w:space="0" w:color="auto"/>
            <w:bottom w:val="none" w:sz="0" w:space="0" w:color="auto"/>
            <w:right w:val="none" w:sz="0" w:space="0" w:color="auto"/>
          </w:divBdr>
          <w:divsChild>
            <w:div w:id="97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094">
      <w:bodyDiv w:val="1"/>
      <w:marLeft w:val="0"/>
      <w:marRight w:val="0"/>
      <w:marTop w:val="0"/>
      <w:marBottom w:val="0"/>
      <w:divBdr>
        <w:top w:val="none" w:sz="0" w:space="0" w:color="auto"/>
        <w:left w:val="none" w:sz="0" w:space="0" w:color="auto"/>
        <w:bottom w:val="none" w:sz="0" w:space="0" w:color="auto"/>
        <w:right w:val="none" w:sz="0" w:space="0" w:color="auto"/>
      </w:divBdr>
    </w:div>
    <w:div w:id="1556118774">
      <w:bodyDiv w:val="1"/>
      <w:marLeft w:val="0"/>
      <w:marRight w:val="0"/>
      <w:marTop w:val="0"/>
      <w:marBottom w:val="0"/>
      <w:divBdr>
        <w:top w:val="none" w:sz="0" w:space="0" w:color="auto"/>
        <w:left w:val="none" w:sz="0" w:space="0" w:color="auto"/>
        <w:bottom w:val="none" w:sz="0" w:space="0" w:color="auto"/>
        <w:right w:val="none" w:sz="0" w:space="0" w:color="auto"/>
      </w:divBdr>
    </w:div>
    <w:div w:id="1556627918">
      <w:bodyDiv w:val="1"/>
      <w:marLeft w:val="0"/>
      <w:marRight w:val="0"/>
      <w:marTop w:val="0"/>
      <w:marBottom w:val="0"/>
      <w:divBdr>
        <w:top w:val="none" w:sz="0" w:space="0" w:color="auto"/>
        <w:left w:val="none" w:sz="0" w:space="0" w:color="auto"/>
        <w:bottom w:val="none" w:sz="0" w:space="0" w:color="auto"/>
        <w:right w:val="none" w:sz="0" w:space="0" w:color="auto"/>
      </w:divBdr>
    </w:div>
    <w:div w:id="1557623449">
      <w:bodyDiv w:val="1"/>
      <w:marLeft w:val="0"/>
      <w:marRight w:val="0"/>
      <w:marTop w:val="0"/>
      <w:marBottom w:val="0"/>
      <w:divBdr>
        <w:top w:val="none" w:sz="0" w:space="0" w:color="auto"/>
        <w:left w:val="none" w:sz="0" w:space="0" w:color="auto"/>
        <w:bottom w:val="none" w:sz="0" w:space="0" w:color="auto"/>
        <w:right w:val="none" w:sz="0" w:space="0" w:color="auto"/>
      </w:divBdr>
      <w:divsChild>
        <w:div w:id="2094206449">
          <w:marLeft w:val="0"/>
          <w:marRight w:val="0"/>
          <w:marTop w:val="0"/>
          <w:marBottom w:val="0"/>
          <w:divBdr>
            <w:top w:val="none" w:sz="0" w:space="0" w:color="auto"/>
            <w:left w:val="none" w:sz="0" w:space="0" w:color="auto"/>
            <w:bottom w:val="none" w:sz="0" w:space="0" w:color="auto"/>
            <w:right w:val="none" w:sz="0" w:space="0" w:color="auto"/>
          </w:divBdr>
          <w:divsChild>
            <w:div w:id="1554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360">
      <w:bodyDiv w:val="1"/>
      <w:marLeft w:val="0"/>
      <w:marRight w:val="0"/>
      <w:marTop w:val="0"/>
      <w:marBottom w:val="0"/>
      <w:divBdr>
        <w:top w:val="none" w:sz="0" w:space="0" w:color="auto"/>
        <w:left w:val="none" w:sz="0" w:space="0" w:color="auto"/>
        <w:bottom w:val="none" w:sz="0" w:space="0" w:color="auto"/>
        <w:right w:val="none" w:sz="0" w:space="0" w:color="auto"/>
      </w:divBdr>
    </w:div>
    <w:div w:id="1588805679">
      <w:bodyDiv w:val="1"/>
      <w:marLeft w:val="0"/>
      <w:marRight w:val="0"/>
      <w:marTop w:val="0"/>
      <w:marBottom w:val="0"/>
      <w:divBdr>
        <w:top w:val="none" w:sz="0" w:space="0" w:color="auto"/>
        <w:left w:val="none" w:sz="0" w:space="0" w:color="auto"/>
        <w:bottom w:val="none" w:sz="0" w:space="0" w:color="auto"/>
        <w:right w:val="none" w:sz="0" w:space="0" w:color="auto"/>
      </w:divBdr>
      <w:divsChild>
        <w:div w:id="1097947818">
          <w:marLeft w:val="0"/>
          <w:marRight w:val="0"/>
          <w:marTop w:val="0"/>
          <w:marBottom w:val="0"/>
          <w:divBdr>
            <w:top w:val="none" w:sz="0" w:space="0" w:color="auto"/>
            <w:left w:val="none" w:sz="0" w:space="0" w:color="auto"/>
            <w:bottom w:val="none" w:sz="0" w:space="0" w:color="auto"/>
            <w:right w:val="none" w:sz="0" w:space="0" w:color="auto"/>
          </w:divBdr>
        </w:div>
      </w:divsChild>
    </w:div>
    <w:div w:id="1617758563">
      <w:bodyDiv w:val="1"/>
      <w:marLeft w:val="0"/>
      <w:marRight w:val="0"/>
      <w:marTop w:val="0"/>
      <w:marBottom w:val="0"/>
      <w:divBdr>
        <w:top w:val="none" w:sz="0" w:space="0" w:color="auto"/>
        <w:left w:val="none" w:sz="0" w:space="0" w:color="auto"/>
        <w:bottom w:val="none" w:sz="0" w:space="0" w:color="auto"/>
        <w:right w:val="none" w:sz="0" w:space="0" w:color="auto"/>
      </w:divBdr>
      <w:divsChild>
        <w:div w:id="1426196416">
          <w:marLeft w:val="0"/>
          <w:marRight w:val="0"/>
          <w:marTop w:val="0"/>
          <w:marBottom w:val="0"/>
          <w:divBdr>
            <w:top w:val="none" w:sz="0" w:space="0" w:color="auto"/>
            <w:left w:val="none" w:sz="0" w:space="0" w:color="auto"/>
            <w:bottom w:val="none" w:sz="0" w:space="0" w:color="auto"/>
            <w:right w:val="none" w:sz="0" w:space="0" w:color="auto"/>
          </w:divBdr>
          <w:divsChild>
            <w:div w:id="21238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295">
      <w:bodyDiv w:val="1"/>
      <w:marLeft w:val="0"/>
      <w:marRight w:val="0"/>
      <w:marTop w:val="0"/>
      <w:marBottom w:val="0"/>
      <w:divBdr>
        <w:top w:val="none" w:sz="0" w:space="0" w:color="auto"/>
        <w:left w:val="none" w:sz="0" w:space="0" w:color="auto"/>
        <w:bottom w:val="none" w:sz="0" w:space="0" w:color="auto"/>
        <w:right w:val="none" w:sz="0" w:space="0" w:color="auto"/>
      </w:divBdr>
    </w:div>
    <w:div w:id="1645888737">
      <w:bodyDiv w:val="1"/>
      <w:marLeft w:val="0"/>
      <w:marRight w:val="0"/>
      <w:marTop w:val="0"/>
      <w:marBottom w:val="0"/>
      <w:divBdr>
        <w:top w:val="none" w:sz="0" w:space="0" w:color="auto"/>
        <w:left w:val="none" w:sz="0" w:space="0" w:color="auto"/>
        <w:bottom w:val="none" w:sz="0" w:space="0" w:color="auto"/>
        <w:right w:val="none" w:sz="0" w:space="0" w:color="auto"/>
      </w:divBdr>
      <w:divsChild>
        <w:div w:id="699939843">
          <w:marLeft w:val="0"/>
          <w:marRight w:val="0"/>
          <w:marTop w:val="0"/>
          <w:marBottom w:val="0"/>
          <w:divBdr>
            <w:top w:val="none" w:sz="0" w:space="0" w:color="auto"/>
            <w:left w:val="none" w:sz="0" w:space="0" w:color="auto"/>
            <w:bottom w:val="none" w:sz="0" w:space="0" w:color="auto"/>
            <w:right w:val="none" w:sz="0" w:space="0" w:color="auto"/>
          </w:divBdr>
        </w:div>
        <w:div w:id="1233472138">
          <w:marLeft w:val="0"/>
          <w:marRight w:val="0"/>
          <w:marTop w:val="0"/>
          <w:marBottom w:val="0"/>
          <w:divBdr>
            <w:top w:val="none" w:sz="0" w:space="0" w:color="auto"/>
            <w:left w:val="none" w:sz="0" w:space="0" w:color="auto"/>
            <w:bottom w:val="none" w:sz="0" w:space="0" w:color="auto"/>
            <w:right w:val="none" w:sz="0" w:space="0" w:color="auto"/>
          </w:divBdr>
        </w:div>
        <w:div w:id="1358585401">
          <w:marLeft w:val="0"/>
          <w:marRight w:val="0"/>
          <w:marTop w:val="0"/>
          <w:marBottom w:val="0"/>
          <w:divBdr>
            <w:top w:val="none" w:sz="0" w:space="0" w:color="auto"/>
            <w:left w:val="none" w:sz="0" w:space="0" w:color="auto"/>
            <w:bottom w:val="none" w:sz="0" w:space="0" w:color="auto"/>
            <w:right w:val="none" w:sz="0" w:space="0" w:color="auto"/>
          </w:divBdr>
        </w:div>
        <w:div w:id="1904020513">
          <w:marLeft w:val="0"/>
          <w:marRight w:val="0"/>
          <w:marTop w:val="0"/>
          <w:marBottom w:val="0"/>
          <w:divBdr>
            <w:top w:val="none" w:sz="0" w:space="0" w:color="auto"/>
            <w:left w:val="none" w:sz="0" w:space="0" w:color="auto"/>
            <w:bottom w:val="none" w:sz="0" w:space="0" w:color="auto"/>
            <w:right w:val="none" w:sz="0" w:space="0" w:color="auto"/>
          </w:divBdr>
        </w:div>
      </w:divsChild>
    </w:div>
    <w:div w:id="1646592499">
      <w:bodyDiv w:val="1"/>
      <w:marLeft w:val="0"/>
      <w:marRight w:val="0"/>
      <w:marTop w:val="0"/>
      <w:marBottom w:val="0"/>
      <w:divBdr>
        <w:top w:val="none" w:sz="0" w:space="0" w:color="auto"/>
        <w:left w:val="none" w:sz="0" w:space="0" w:color="auto"/>
        <w:bottom w:val="none" w:sz="0" w:space="0" w:color="auto"/>
        <w:right w:val="none" w:sz="0" w:space="0" w:color="auto"/>
      </w:divBdr>
    </w:div>
    <w:div w:id="1651665892">
      <w:bodyDiv w:val="1"/>
      <w:marLeft w:val="0"/>
      <w:marRight w:val="0"/>
      <w:marTop w:val="0"/>
      <w:marBottom w:val="0"/>
      <w:divBdr>
        <w:top w:val="none" w:sz="0" w:space="0" w:color="auto"/>
        <w:left w:val="none" w:sz="0" w:space="0" w:color="auto"/>
        <w:bottom w:val="none" w:sz="0" w:space="0" w:color="auto"/>
        <w:right w:val="none" w:sz="0" w:space="0" w:color="auto"/>
      </w:divBdr>
    </w:div>
    <w:div w:id="1661151174">
      <w:bodyDiv w:val="1"/>
      <w:marLeft w:val="0"/>
      <w:marRight w:val="0"/>
      <w:marTop w:val="0"/>
      <w:marBottom w:val="0"/>
      <w:divBdr>
        <w:top w:val="none" w:sz="0" w:space="0" w:color="auto"/>
        <w:left w:val="none" w:sz="0" w:space="0" w:color="auto"/>
        <w:bottom w:val="none" w:sz="0" w:space="0" w:color="auto"/>
        <w:right w:val="none" w:sz="0" w:space="0" w:color="auto"/>
      </w:divBdr>
    </w:div>
    <w:div w:id="1717075084">
      <w:bodyDiv w:val="1"/>
      <w:marLeft w:val="0"/>
      <w:marRight w:val="0"/>
      <w:marTop w:val="0"/>
      <w:marBottom w:val="0"/>
      <w:divBdr>
        <w:top w:val="none" w:sz="0" w:space="0" w:color="auto"/>
        <w:left w:val="none" w:sz="0" w:space="0" w:color="auto"/>
        <w:bottom w:val="none" w:sz="0" w:space="0" w:color="auto"/>
        <w:right w:val="none" w:sz="0" w:space="0" w:color="auto"/>
      </w:divBdr>
    </w:div>
    <w:div w:id="1719478643">
      <w:bodyDiv w:val="1"/>
      <w:marLeft w:val="0"/>
      <w:marRight w:val="0"/>
      <w:marTop w:val="0"/>
      <w:marBottom w:val="0"/>
      <w:divBdr>
        <w:top w:val="none" w:sz="0" w:space="0" w:color="auto"/>
        <w:left w:val="none" w:sz="0" w:space="0" w:color="auto"/>
        <w:bottom w:val="none" w:sz="0" w:space="0" w:color="auto"/>
        <w:right w:val="none" w:sz="0" w:space="0" w:color="auto"/>
      </w:divBdr>
      <w:divsChild>
        <w:div w:id="449789789">
          <w:marLeft w:val="0"/>
          <w:marRight w:val="0"/>
          <w:marTop w:val="0"/>
          <w:marBottom w:val="0"/>
          <w:divBdr>
            <w:top w:val="none" w:sz="0" w:space="0" w:color="auto"/>
            <w:left w:val="none" w:sz="0" w:space="0" w:color="auto"/>
            <w:bottom w:val="none" w:sz="0" w:space="0" w:color="auto"/>
            <w:right w:val="none" w:sz="0" w:space="0" w:color="auto"/>
          </w:divBdr>
          <w:divsChild>
            <w:div w:id="2229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9878">
      <w:bodyDiv w:val="1"/>
      <w:marLeft w:val="0"/>
      <w:marRight w:val="0"/>
      <w:marTop w:val="0"/>
      <w:marBottom w:val="0"/>
      <w:divBdr>
        <w:top w:val="none" w:sz="0" w:space="0" w:color="auto"/>
        <w:left w:val="none" w:sz="0" w:space="0" w:color="auto"/>
        <w:bottom w:val="none" w:sz="0" w:space="0" w:color="auto"/>
        <w:right w:val="none" w:sz="0" w:space="0" w:color="auto"/>
      </w:divBdr>
    </w:div>
    <w:div w:id="1735275555">
      <w:bodyDiv w:val="1"/>
      <w:marLeft w:val="0"/>
      <w:marRight w:val="0"/>
      <w:marTop w:val="0"/>
      <w:marBottom w:val="0"/>
      <w:divBdr>
        <w:top w:val="none" w:sz="0" w:space="0" w:color="auto"/>
        <w:left w:val="none" w:sz="0" w:space="0" w:color="auto"/>
        <w:bottom w:val="none" w:sz="0" w:space="0" w:color="auto"/>
        <w:right w:val="none" w:sz="0" w:space="0" w:color="auto"/>
      </w:divBdr>
    </w:div>
    <w:div w:id="1744984727">
      <w:bodyDiv w:val="1"/>
      <w:marLeft w:val="0"/>
      <w:marRight w:val="0"/>
      <w:marTop w:val="0"/>
      <w:marBottom w:val="0"/>
      <w:divBdr>
        <w:top w:val="none" w:sz="0" w:space="0" w:color="auto"/>
        <w:left w:val="none" w:sz="0" w:space="0" w:color="auto"/>
        <w:bottom w:val="none" w:sz="0" w:space="0" w:color="auto"/>
        <w:right w:val="none" w:sz="0" w:space="0" w:color="auto"/>
      </w:divBdr>
    </w:div>
    <w:div w:id="1784036601">
      <w:bodyDiv w:val="1"/>
      <w:marLeft w:val="0"/>
      <w:marRight w:val="0"/>
      <w:marTop w:val="0"/>
      <w:marBottom w:val="0"/>
      <w:divBdr>
        <w:top w:val="none" w:sz="0" w:space="0" w:color="auto"/>
        <w:left w:val="none" w:sz="0" w:space="0" w:color="auto"/>
        <w:bottom w:val="none" w:sz="0" w:space="0" w:color="auto"/>
        <w:right w:val="none" w:sz="0" w:space="0" w:color="auto"/>
      </w:divBdr>
    </w:div>
    <w:div w:id="1797793734">
      <w:bodyDiv w:val="1"/>
      <w:marLeft w:val="0"/>
      <w:marRight w:val="0"/>
      <w:marTop w:val="0"/>
      <w:marBottom w:val="0"/>
      <w:divBdr>
        <w:top w:val="none" w:sz="0" w:space="0" w:color="auto"/>
        <w:left w:val="none" w:sz="0" w:space="0" w:color="auto"/>
        <w:bottom w:val="none" w:sz="0" w:space="0" w:color="auto"/>
        <w:right w:val="none" w:sz="0" w:space="0" w:color="auto"/>
      </w:divBdr>
    </w:div>
    <w:div w:id="1812821201">
      <w:bodyDiv w:val="1"/>
      <w:marLeft w:val="0"/>
      <w:marRight w:val="0"/>
      <w:marTop w:val="0"/>
      <w:marBottom w:val="0"/>
      <w:divBdr>
        <w:top w:val="none" w:sz="0" w:space="0" w:color="auto"/>
        <w:left w:val="none" w:sz="0" w:space="0" w:color="auto"/>
        <w:bottom w:val="none" w:sz="0" w:space="0" w:color="auto"/>
        <w:right w:val="none" w:sz="0" w:space="0" w:color="auto"/>
      </w:divBdr>
      <w:divsChild>
        <w:div w:id="597756253">
          <w:marLeft w:val="446"/>
          <w:marRight w:val="0"/>
          <w:marTop w:val="0"/>
          <w:marBottom w:val="0"/>
          <w:divBdr>
            <w:top w:val="none" w:sz="0" w:space="0" w:color="auto"/>
            <w:left w:val="none" w:sz="0" w:space="0" w:color="auto"/>
            <w:bottom w:val="none" w:sz="0" w:space="0" w:color="auto"/>
            <w:right w:val="none" w:sz="0" w:space="0" w:color="auto"/>
          </w:divBdr>
        </w:div>
        <w:div w:id="934362916">
          <w:marLeft w:val="446"/>
          <w:marRight w:val="0"/>
          <w:marTop w:val="0"/>
          <w:marBottom w:val="0"/>
          <w:divBdr>
            <w:top w:val="none" w:sz="0" w:space="0" w:color="auto"/>
            <w:left w:val="none" w:sz="0" w:space="0" w:color="auto"/>
            <w:bottom w:val="none" w:sz="0" w:space="0" w:color="auto"/>
            <w:right w:val="none" w:sz="0" w:space="0" w:color="auto"/>
          </w:divBdr>
        </w:div>
        <w:div w:id="1370377183">
          <w:marLeft w:val="446"/>
          <w:marRight w:val="0"/>
          <w:marTop w:val="0"/>
          <w:marBottom w:val="0"/>
          <w:divBdr>
            <w:top w:val="none" w:sz="0" w:space="0" w:color="auto"/>
            <w:left w:val="none" w:sz="0" w:space="0" w:color="auto"/>
            <w:bottom w:val="none" w:sz="0" w:space="0" w:color="auto"/>
            <w:right w:val="none" w:sz="0" w:space="0" w:color="auto"/>
          </w:divBdr>
        </w:div>
        <w:div w:id="1439720941">
          <w:marLeft w:val="446"/>
          <w:marRight w:val="0"/>
          <w:marTop w:val="0"/>
          <w:marBottom w:val="0"/>
          <w:divBdr>
            <w:top w:val="none" w:sz="0" w:space="0" w:color="auto"/>
            <w:left w:val="none" w:sz="0" w:space="0" w:color="auto"/>
            <w:bottom w:val="none" w:sz="0" w:space="0" w:color="auto"/>
            <w:right w:val="none" w:sz="0" w:space="0" w:color="auto"/>
          </w:divBdr>
        </w:div>
        <w:div w:id="1610816237">
          <w:marLeft w:val="446"/>
          <w:marRight w:val="0"/>
          <w:marTop w:val="0"/>
          <w:marBottom w:val="0"/>
          <w:divBdr>
            <w:top w:val="none" w:sz="0" w:space="0" w:color="auto"/>
            <w:left w:val="none" w:sz="0" w:space="0" w:color="auto"/>
            <w:bottom w:val="none" w:sz="0" w:space="0" w:color="auto"/>
            <w:right w:val="none" w:sz="0" w:space="0" w:color="auto"/>
          </w:divBdr>
        </w:div>
        <w:div w:id="1863742743">
          <w:marLeft w:val="446"/>
          <w:marRight w:val="0"/>
          <w:marTop w:val="0"/>
          <w:marBottom w:val="0"/>
          <w:divBdr>
            <w:top w:val="none" w:sz="0" w:space="0" w:color="auto"/>
            <w:left w:val="none" w:sz="0" w:space="0" w:color="auto"/>
            <w:bottom w:val="none" w:sz="0" w:space="0" w:color="auto"/>
            <w:right w:val="none" w:sz="0" w:space="0" w:color="auto"/>
          </w:divBdr>
        </w:div>
      </w:divsChild>
    </w:div>
    <w:div w:id="1817990566">
      <w:bodyDiv w:val="1"/>
      <w:marLeft w:val="0"/>
      <w:marRight w:val="0"/>
      <w:marTop w:val="0"/>
      <w:marBottom w:val="0"/>
      <w:divBdr>
        <w:top w:val="none" w:sz="0" w:space="0" w:color="auto"/>
        <w:left w:val="none" w:sz="0" w:space="0" w:color="auto"/>
        <w:bottom w:val="none" w:sz="0" w:space="0" w:color="auto"/>
        <w:right w:val="none" w:sz="0" w:space="0" w:color="auto"/>
      </w:divBdr>
    </w:div>
    <w:div w:id="1822499452">
      <w:bodyDiv w:val="1"/>
      <w:marLeft w:val="0"/>
      <w:marRight w:val="0"/>
      <w:marTop w:val="0"/>
      <w:marBottom w:val="0"/>
      <w:divBdr>
        <w:top w:val="none" w:sz="0" w:space="0" w:color="auto"/>
        <w:left w:val="none" w:sz="0" w:space="0" w:color="auto"/>
        <w:bottom w:val="none" w:sz="0" w:space="0" w:color="auto"/>
        <w:right w:val="none" w:sz="0" w:space="0" w:color="auto"/>
      </w:divBdr>
      <w:divsChild>
        <w:div w:id="1221405525">
          <w:marLeft w:val="475"/>
          <w:marRight w:val="0"/>
          <w:marTop w:val="86"/>
          <w:marBottom w:val="120"/>
          <w:divBdr>
            <w:top w:val="none" w:sz="0" w:space="0" w:color="auto"/>
            <w:left w:val="none" w:sz="0" w:space="0" w:color="auto"/>
            <w:bottom w:val="none" w:sz="0" w:space="0" w:color="auto"/>
            <w:right w:val="none" w:sz="0" w:space="0" w:color="auto"/>
          </w:divBdr>
        </w:div>
        <w:div w:id="1880974238">
          <w:marLeft w:val="475"/>
          <w:marRight w:val="0"/>
          <w:marTop w:val="86"/>
          <w:marBottom w:val="120"/>
          <w:divBdr>
            <w:top w:val="none" w:sz="0" w:space="0" w:color="auto"/>
            <w:left w:val="none" w:sz="0" w:space="0" w:color="auto"/>
            <w:bottom w:val="none" w:sz="0" w:space="0" w:color="auto"/>
            <w:right w:val="none" w:sz="0" w:space="0" w:color="auto"/>
          </w:divBdr>
        </w:div>
        <w:div w:id="2111583196">
          <w:marLeft w:val="475"/>
          <w:marRight w:val="0"/>
          <w:marTop w:val="86"/>
          <w:marBottom w:val="120"/>
          <w:divBdr>
            <w:top w:val="none" w:sz="0" w:space="0" w:color="auto"/>
            <w:left w:val="none" w:sz="0" w:space="0" w:color="auto"/>
            <w:bottom w:val="none" w:sz="0" w:space="0" w:color="auto"/>
            <w:right w:val="none" w:sz="0" w:space="0" w:color="auto"/>
          </w:divBdr>
        </w:div>
      </w:divsChild>
    </w:div>
    <w:div w:id="1847283586">
      <w:bodyDiv w:val="1"/>
      <w:marLeft w:val="0"/>
      <w:marRight w:val="0"/>
      <w:marTop w:val="0"/>
      <w:marBottom w:val="0"/>
      <w:divBdr>
        <w:top w:val="none" w:sz="0" w:space="0" w:color="auto"/>
        <w:left w:val="none" w:sz="0" w:space="0" w:color="auto"/>
        <w:bottom w:val="none" w:sz="0" w:space="0" w:color="auto"/>
        <w:right w:val="none" w:sz="0" w:space="0" w:color="auto"/>
      </w:divBdr>
    </w:div>
    <w:div w:id="1884058043">
      <w:bodyDiv w:val="1"/>
      <w:marLeft w:val="0"/>
      <w:marRight w:val="0"/>
      <w:marTop w:val="0"/>
      <w:marBottom w:val="0"/>
      <w:divBdr>
        <w:top w:val="none" w:sz="0" w:space="0" w:color="auto"/>
        <w:left w:val="none" w:sz="0" w:space="0" w:color="auto"/>
        <w:bottom w:val="none" w:sz="0" w:space="0" w:color="auto"/>
        <w:right w:val="none" w:sz="0" w:space="0" w:color="auto"/>
      </w:divBdr>
    </w:div>
    <w:div w:id="1888566007">
      <w:bodyDiv w:val="1"/>
      <w:marLeft w:val="0"/>
      <w:marRight w:val="0"/>
      <w:marTop w:val="0"/>
      <w:marBottom w:val="0"/>
      <w:divBdr>
        <w:top w:val="none" w:sz="0" w:space="0" w:color="auto"/>
        <w:left w:val="none" w:sz="0" w:space="0" w:color="auto"/>
        <w:bottom w:val="none" w:sz="0" w:space="0" w:color="auto"/>
        <w:right w:val="none" w:sz="0" w:space="0" w:color="auto"/>
      </w:divBdr>
    </w:div>
    <w:div w:id="1892378910">
      <w:bodyDiv w:val="1"/>
      <w:marLeft w:val="0"/>
      <w:marRight w:val="0"/>
      <w:marTop w:val="0"/>
      <w:marBottom w:val="0"/>
      <w:divBdr>
        <w:top w:val="none" w:sz="0" w:space="0" w:color="auto"/>
        <w:left w:val="none" w:sz="0" w:space="0" w:color="auto"/>
        <w:bottom w:val="none" w:sz="0" w:space="0" w:color="auto"/>
        <w:right w:val="none" w:sz="0" w:space="0" w:color="auto"/>
      </w:divBdr>
    </w:div>
    <w:div w:id="1917476483">
      <w:bodyDiv w:val="1"/>
      <w:marLeft w:val="0"/>
      <w:marRight w:val="0"/>
      <w:marTop w:val="0"/>
      <w:marBottom w:val="0"/>
      <w:divBdr>
        <w:top w:val="none" w:sz="0" w:space="0" w:color="auto"/>
        <w:left w:val="none" w:sz="0" w:space="0" w:color="auto"/>
        <w:bottom w:val="none" w:sz="0" w:space="0" w:color="auto"/>
        <w:right w:val="none" w:sz="0" w:space="0" w:color="auto"/>
      </w:divBdr>
    </w:div>
    <w:div w:id="1952475799">
      <w:bodyDiv w:val="1"/>
      <w:marLeft w:val="0"/>
      <w:marRight w:val="0"/>
      <w:marTop w:val="0"/>
      <w:marBottom w:val="0"/>
      <w:divBdr>
        <w:top w:val="none" w:sz="0" w:space="0" w:color="auto"/>
        <w:left w:val="none" w:sz="0" w:space="0" w:color="auto"/>
        <w:bottom w:val="none" w:sz="0" w:space="0" w:color="auto"/>
        <w:right w:val="none" w:sz="0" w:space="0" w:color="auto"/>
      </w:divBdr>
      <w:divsChild>
        <w:div w:id="1724208217">
          <w:marLeft w:val="0"/>
          <w:marRight w:val="0"/>
          <w:marTop w:val="0"/>
          <w:marBottom w:val="0"/>
          <w:divBdr>
            <w:top w:val="none" w:sz="0" w:space="0" w:color="auto"/>
            <w:left w:val="none" w:sz="0" w:space="0" w:color="auto"/>
            <w:bottom w:val="none" w:sz="0" w:space="0" w:color="auto"/>
            <w:right w:val="none" w:sz="0" w:space="0" w:color="auto"/>
          </w:divBdr>
        </w:div>
      </w:divsChild>
    </w:div>
    <w:div w:id="1955404394">
      <w:bodyDiv w:val="1"/>
      <w:marLeft w:val="0"/>
      <w:marRight w:val="0"/>
      <w:marTop w:val="0"/>
      <w:marBottom w:val="0"/>
      <w:divBdr>
        <w:top w:val="none" w:sz="0" w:space="0" w:color="auto"/>
        <w:left w:val="none" w:sz="0" w:space="0" w:color="auto"/>
        <w:bottom w:val="none" w:sz="0" w:space="0" w:color="auto"/>
        <w:right w:val="none" w:sz="0" w:space="0" w:color="auto"/>
      </w:divBdr>
      <w:divsChild>
        <w:div w:id="105121618">
          <w:marLeft w:val="0"/>
          <w:marRight w:val="0"/>
          <w:marTop w:val="0"/>
          <w:marBottom w:val="0"/>
          <w:divBdr>
            <w:top w:val="none" w:sz="0" w:space="0" w:color="auto"/>
            <w:left w:val="none" w:sz="0" w:space="0" w:color="auto"/>
            <w:bottom w:val="none" w:sz="0" w:space="0" w:color="auto"/>
            <w:right w:val="none" w:sz="0" w:space="0" w:color="auto"/>
          </w:divBdr>
        </w:div>
        <w:div w:id="304969684">
          <w:marLeft w:val="0"/>
          <w:marRight w:val="0"/>
          <w:marTop w:val="0"/>
          <w:marBottom w:val="0"/>
          <w:divBdr>
            <w:top w:val="none" w:sz="0" w:space="0" w:color="auto"/>
            <w:left w:val="none" w:sz="0" w:space="0" w:color="auto"/>
            <w:bottom w:val="none" w:sz="0" w:space="0" w:color="auto"/>
            <w:right w:val="none" w:sz="0" w:space="0" w:color="auto"/>
          </w:divBdr>
        </w:div>
        <w:div w:id="519585842">
          <w:marLeft w:val="0"/>
          <w:marRight w:val="0"/>
          <w:marTop w:val="0"/>
          <w:marBottom w:val="0"/>
          <w:divBdr>
            <w:top w:val="none" w:sz="0" w:space="0" w:color="auto"/>
            <w:left w:val="none" w:sz="0" w:space="0" w:color="auto"/>
            <w:bottom w:val="none" w:sz="0" w:space="0" w:color="auto"/>
            <w:right w:val="none" w:sz="0" w:space="0" w:color="auto"/>
          </w:divBdr>
        </w:div>
        <w:div w:id="583488320">
          <w:marLeft w:val="0"/>
          <w:marRight w:val="0"/>
          <w:marTop w:val="0"/>
          <w:marBottom w:val="0"/>
          <w:divBdr>
            <w:top w:val="none" w:sz="0" w:space="0" w:color="auto"/>
            <w:left w:val="none" w:sz="0" w:space="0" w:color="auto"/>
            <w:bottom w:val="none" w:sz="0" w:space="0" w:color="auto"/>
            <w:right w:val="none" w:sz="0" w:space="0" w:color="auto"/>
          </w:divBdr>
        </w:div>
        <w:div w:id="733968746">
          <w:marLeft w:val="0"/>
          <w:marRight w:val="0"/>
          <w:marTop w:val="0"/>
          <w:marBottom w:val="0"/>
          <w:divBdr>
            <w:top w:val="none" w:sz="0" w:space="0" w:color="auto"/>
            <w:left w:val="none" w:sz="0" w:space="0" w:color="auto"/>
            <w:bottom w:val="none" w:sz="0" w:space="0" w:color="auto"/>
            <w:right w:val="none" w:sz="0" w:space="0" w:color="auto"/>
          </w:divBdr>
        </w:div>
        <w:div w:id="1301303197">
          <w:marLeft w:val="0"/>
          <w:marRight w:val="0"/>
          <w:marTop w:val="0"/>
          <w:marBottom w:val="0"/>
          <w:divBdr>
            <w:top w:val="none" w:sz="0" w:space="0" w:color="auto"/>
            <w:left w:val="none" w:sz="0" w:space="0" w:color="auto"/>
            <w:bottom w:val="none" w:sz="0" w:space="0" w:color="auto"/>
            <w:right w:val="none" w:sz="0" w:space="0" w:color="auto"/>
          </w:divBdr>
        </w:div>
        <w:div w:id="1623923674">
          <w:marLeft w:val="0"/>
          <w:marRight w:val="0"/>
          <w:marTop w:val="0"/>
          <w:marBottom w:val="0"/>
          <w:divBdr>
            <w:top w:val="none" w:sz="0" w:space="0" w:color="auto"/>
            <w:left w:val="none" w:sz="0" w:space="0" w:color="auto"/>
            <w:bottom w:val="none" w:sz="0" w:space="0" w:color="auto"/>
            <w:right w:val="none" w:sz="0" w:space="0" w:color="auto"/>
          </w:divBdr>
        </w:div>
        <w:div w:id="1640379286">
          <w:marLeft w:val="0"/>
          <w:marRight w:val="0"/>
          <w:marTop w:val="0"/>
          <w:marBottom w:val="0"/>
          <w:divBdr>
            <w:top w:val="none" w:sz="0" w:space="0" w:color="auto"/>
            <w:left w:val="none" w:sz="0" w:space="0" w:color="auto"/>
            <w:bottom w:val="none" w:sz="0" w:space="0" w:color="auto"/>
            <w:right w:val="none" w:sz="0" w:space="0" w:color="auto"/>
          </w:divBdr>
        </w:div>
        <w:div w:id="1876576704">
          <w:marLeft w:val="0"/>
          <w:marRight w:val="0"/>
          <w:marTop w:val="0"/>
          <w:marBottom w:val="0"/>
          <w:divBdr>
            <w:top w:val="none" w:sz="0" w:space="0" w:color="auto"/>
            <w:left w:val="none" w:sz="0" w:space="0" w:color="auto"/>
            <w:bottom w:val="none" w:sz="0" w:space="0" w:color="auto"/>
            <w:right w:val="none" w:sz="0" w:space="0" w:color="auto"/>
          </w:divBdr>
        </w:div>
      </w:divsChild>
    </w:div>
    <w:div w:id="1967078270">
      <w:bodyDiv w:val="1"/>
      <w:marLeft w:val="0"/>
      <w:marRight w:val="0"/>
      <w:marTop w:val="0"/>
      <w:marBottom w:val="0"/>
      <w:divBdr>
        <w:top w:val="none" w:sz="0" w:space="0" w:color="auto"/>
        <w:left w:val="none" w:sz="0" w:space="0" w:color="auto"/>
        <w:bottom w:val="none" w:sz="0" w:space="0" w:color="auto"/>
        <w:right w:val="none" w:sz="0" w:space="0" w:color="auto"/>
      </w:divBdr>
      <w:divsChild>
        <w:div w:id="1957831966">
          <w:marLeft w:val="0"/>
          <w:marRight w:val="0"/>
          <w:marTop w:val="0"/>
          <w:marBottom w:val="0"/>
          <w:divBdr>
            <w:top w:val="none" w:sz="0" w:space="0" w:color="auto"/>
            <w:left w:val="none" w:sz="0" w:space="0" w:color="auto"/>
            <w:bottom w:val="none" w:sz="0" w:space="0" w:color="auto"/>
            <w:right w:val="none" w:sz="0" w:space="0" w:color="auto"/>
          </w:divBdr>
        </w:div>
      </w:divsChild>
    </w:div>
    <w:div w:id="1968000314">
      <w:bodyDiv w:val="1"/>
      <w:marLeft w:val="0"/>
      <w:marRight w:val="0"/>
      <w:marTop w:val="0"/>
      <w:marBottom w:val="0"/>
      <w:divBdr>
        <w:top w:val="none" w:sz="0" w:space="0" w:color="auto"/>
        <w:left w:val="none" w:sz="0" w:space="0" w:color="auto"/>
        <w:bottom w:val="none" w:sz="0" w:space="0" w:color="auto"/>
        <w:right w:val="none" w:sz="0" w:space="0" w:color="auto"/>
      </w:divBdr>
      <w:divsChild>
        <w:div w:id="1421102272">
          <w:marLeft w:val="0"/>
          <w:marRight w:val="0"/>
          <w:marTop w:val="0"/>
          <w:marBottom w:val="0"/>
          <w:divBdr>
            <w:top w:val="none" w:sz="0" w:space="0" w:color="auto"/>
            <w:left w:val="none" w:sz="0" w:space="0" w:color="auto"/>
            <w:bottom w:val="none" w:sz="0" w:space="0" w:color="auto"/>
            <w:right w:val="none" w:sz="0" w:space="0" w:color="auto"/>
          </w:divBdr>
          <w:divsChild>
            <w:div w:id="14904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877">
      <w:bodyDiv w:val="1"/>
      <w:marLeft w:val="0"/>
      <w:marRight w:val="0"/>
      <w:marTop w:val="0"/>
      <w:marBottom w:val="0"/>
      <w:divBdr>
        <w:top w:val="none" w:sz="0" w:space="0" w:color="auto"/>
        <w:left w:val="none" w:sz="0" w:space="0" w:color="auto"/>
        <w:bottom w:val="none" w:sz="0" w:space="0" w:color="auto"/>
        <w:right w:val="none" w:sz="0" w:space="0" w:color="auto"/>
      </w:divBdr>
      <w:divsChild>
        <w:div w:id="497427676">
          <w:marLeft w:val="0"/>
          <w:marRight w:val="0"/>
          <w:marTop w:val="0"/>
          <w:marBottom w:val="0"/>
          <w:divBdr>
            <w:top w:val="none" w:sz="0" w:space="0" w:color="auto"/>
            <w:left w:val="none" w:sz="0" w:space="0" w:color="auto"/>
            <w:bottom w:val="none" w:sz="0" w:space="0" w:color="auto"/>
            <w:right w:val="none" w:sz="0" w:space="0" w:color="auto"/>
          </w:divBdr>
        </w:div>
        <w:div w:id="640497260">
          <w:marLeft w:val="0"/>
          <w:marRight w:val="0"/>
          <w:marTop w:val="0"/>
          <w:marBottom w:val="0"/>
          <w:divBdr>
            <w:top w:val="none" w:sz="0" w:space="0" w:color="auto"/>
            <w:left w:val="none" w:sz="0" w:space="0" w:color="auto"/>
            <w:bottom w:val="none" w:sz="0" w:space="0" w:color="auto"/>
            <w:right w:val="none" w:sz="0" w:space="0" w:color="auto"/>
          </w:divBdr>
        </w:div>
        <w:div w:id="658461289">
          <w:marLeft w:val="0"/>
          <w:marRight w:val="0"/>
          <w:marTop w:val="0"/>
          <w:marBottom w:val="0"/>
          <w:divBdr>
            <w:top w:val="none" w:sz="0" w:space="0" w:color="auto"/>
            <w:left w:val="none" w:sz="0" w:space="0" w:color="auto"/>
            <w:bottom w:val="none" w:sz="0" w:space="0" w:color="auto"/>
            <w:right w:val="none" w:sz="0" w:space="0" w:color="auto"/>
          </w:divBdr>
        </w:div>
      </w:divsChild>
    </w:div>
    <w:div w:id="2019379811">
      <w:bodyDiv w:val="1"/>
      <w:marLeft w:val="0"/>
      <w:marRight w:val="0"/>
      <w:marTop w:val="0"/>
      <w:marBottom w:val="0"/>
      <w:divBdr>
        <w:top w:val="none" w:sz="0" w:space="0" w:color="auto"/>
        <w:left w:val="none" w:sz="0" w:space="0" w:color="auto"/>
        <w:bottom w:val="none" w:sz="0" w:space="0" w:color="auto"/>
        <w:right w:val="none" w:sz="0" w:space="0" w:color="auto"/>
      </w:divBdr>
    </w:div>
    <w:div w:id="2025941043">
      <w:bodyDiv w:val="1"/>
      <w:marLeft w:val="0"/>
      <w:marRight w:val="0"/>
      <w:marTop w:val="0"/>
      <w:marBottom w:val="0"/>
      <w:divBdr>
        <w:top w:val="none" w:sz="0" w:space="0" w:color="auto"/>
        <w:left w:val="none" w:sz="0" w:space="0" w:color="auto"/>
        <w:bottom w:val="none" w:sz="0" w:space="0" w:color="auto"/>
        <w:right w:val="none" w:sz="0" w:space="0" w:color="auto"/>
      </w:divBdr>
    </w:div>
    <w:div w:id="2026470589">
      <w:bodyDiv w:val="1"/>
      <w:marLeft w:val="0"/>
      <w:marRight w:val="0"/>
      <w:marTop w:val="0"/>
      <w:marBottom w:val="0"/>
      <w:divBdr>
        <w:top w:val="none" w:sz="0" w:space="0" w:color="auto"/>
        <w:left w:val="none" w:sz="0" w:space="0" w:color="auto"/>
        <w:bottom w:val="none" w:sz="0" w:space="0" w:color="auto"/>
        <w:right w:val="none" w:sz="0" w:space="0" w:color="auto"/>
      </w:divBdr>
    </w:div>
    <w:div w:id="2032804014">
      <w:bodyDiv w:val="1"/>
      <w:marLeft w:val="0"/>
      <w:marRight w:val="0"/>
      <w:marTop w:val="0"/>
      <w:marBottom w:val="0"/>
      <w:divBdr>
        <w:top w:val="none" w:sz="0" w:space="0" w:color="auto"/>
        <w:left w:val="none" w:sz="0" w:space="0" w:color="auto"/>
        <w:bottom w:val="none" w:sz="0" w:space="0" w:color="auto"/>
        <w:right w:val="none" w:sz="0" w:space="0" w:color="auto"/>
      </w:divBdr>
      <w:divsChild>
        <w:div w:id="1657762987">
          <w:marLeft w:val="0"/>
          <w:marRight w:val="0"/>
          <w:marTop w:val="0"/>
          <w:marBottom w:val="0"/>
          <w:divBdr>
            <w:top w:val="none" w:sz="0" w:space="0" w:color="auto"/>
            <w:left w:val="none" w:sz="0" w:space="0" w:color="auto"/>
            <w:bottom w:val="none" w:sz="0" w:space="0" w:color="auto"/>
            <w:right w:val="none" w:sz="0" w:space="0" w:color="auto"/>
          </w:divBdr>
        </w:div>
        <w:div w:id="1705981338">
          <w:marLeft w:val="0"/>
          <w:marRight w:val="0"/>
          <w:marTop w:val="0"/>
          <w:marBottom w:val="0"/>
          <w:divBdr>
            <w:top w:val="none" w:sz="0" w:space="0" w:color="auto"/>
            <w:left w:val="none" w:sz="0" w:space="0" w:color="auto"/>
            <w:bottom w:val="none" w:sz="0" w:space="0" w:color="auto"/>
            <w:right w:val="none" w:sz="0" w:space="0" w:color="auto"/>
          </w:divBdr>
        </w:div>
        <w:div w:id="1964844985">
          <w:marLeft w:val="0"/>
          <w:marRight w:val="0"/>
          <w:marTop w:val="0"/>
          <w:marBottom w:val="0"/>
          <w:divBdr>
            <w:top w:val="none" w:sz="0" w:space="0" w:color="auto"/>
            <w:left w:val="none" w:sz="0" w:space="0" w:color="auto"/>
            <w:bottom w:val="none" w:sz="0" w:space="0" w:color="auto"/>
            <w:right w:val="none" w:sz="0" w:space="0" w:color="auto"/>
          </w:divBdr>
        </w:div>
        <w:div w:id="2140301982">
          <w:marLeft w:val="0"/>
          <w:marRight w:val="0"/>
          <w:marTop w:val="0"/>
          <w:marBottom w:val="0"/>
          <w:divBdr>
            <w:top w:val="none" w:sz="0" w:space="0" w:color="auto"/>
            <w:left w:val="none" w:sz="0" w:space="0" w:color="auto"/>
            <w:bottom w:val="none" w:sz="0" w:space="0" w:color="auto"/>
            <w:right w:val="none" w:sz="0" w:space="0" w:color="auto"/>
          </w:divBdr>
        </w:div>
      </w:divsChild>
    </w:div>
    <w:div w:id="2038505815">
      <w:bodyDiv w:val="1"/>
      <w:marLeft w:val="0"/>
      <w:marRight w:val="0"/>
      <w:marTop w:val="0"/>
      <w:marBottom w:val="0"/>
      <w:divBdr>
        <w:top w:val="none" w:sz="0" w:space="0" w:color="auto"/>
        <w:left w:val="none" w:sz="0" w:space="0" w:color="auto"/>
        <w:bottom w:val="none" w:sz="0" w:space="0" w:color="auto"/>
        <w:right w:val="none" w:sz="0" w:space="0" w:color="auto"/>
      </w:divBdr>
      <w:divsChild>
        <w:div w:id="419914471">
          <w:marLeft w:val="994"/>
          <w:marRight w:val="0"/>
          <w:marTop w:val="77"/>
          <w:marBottom w:val="120"/>
          <w:divBdr>
            <w:top w:val="none" w:sz="0" w:space="0" w:color="auto"/>
            <w:left w:val="none" w:sz="0" w:space="0" w:color="auto"/>
            <w:bottom w:val="none" w:sz="0" w:space="0" w:color="auto"/>
            <w:right w:val="none" w:sz="0" w:space="0" w:color="auto"/>
          </w:divBdr>
        </w:div>
        <w:div w:id="539633259">
          <w:marLeft w:val="994"/>
          <w:marRight w:val="0"/>
          <w:marTop w:val="77"/>
          <w:marBottom w:val="120"/>
          <w:divBdr>
            <w:top w:val="none" w:sz="0" w:space="0" w:color="auto"/>
            <w:left w:val="none" w:sz="0" w:space="0" w:color="auto"/>
            <w:bottom w:val="none" w:sz="0" w:space="0" w:color="auto"/>
            <w:right w:val="none" w:sz="0" w:space="0" w:color="auto"/>
          </w:divBdr>
        </w:div>
        <w:div w:id="620307769">
          <w:marLeft w:val="994"/>
          <w:marRight w:val="0"/>
          <w:marTop w:val="77"/>
          <w:marBottom w:val="120"/>
          <w:divBdr>
            <w:top w:val="none" w:sz="0" w:space="0" w:color="auto"/>
            <w:left w:val="none" w:sz="0" w:space="0" w:color="auto"/>
            <w:bottom w:val="none" w:sz="0" w:space="0" w:color="auto"/>
            <w:right w:val="none" w:sz="0" w:space="0" w:color="auto"/>
          </w:divBdr>
        </w:div>
        <w:div w:id="1240752092">
          <w:marLeft w:val="475"/>
          <w:marRight w:val="0"/>
          <w:marTop w:val="86"/>
          <w:marBottom w:val="60"/>
          <w:divBdr>
            <w:top w:val="none" w:sz="0" w:space="0" w:color="auto"/>
            <w:left w:val="none" w:sz="0" w:space="0" w:color="auto"/>
            <w:bottom w:val="none" w:sz="0" w:space="0" w:color="auto"/>
            <w:right w:val="none" w:sz="0" w:space="0" w:color="auto"/>
          </w:divBdr>
        </w:div>
        <w:div w:id="1595356734">
          <w:marLeft w:val="994"/>
          <w:marRight w:val="0"/>
          <w:marTop w:val="77"/>
          <w:marBottom w:val="120"/>
          <w:divBdr>
            <w:top w:val="none" w:sz="0" w:space="0" w:color="auto"/>
            <w:left w:val="none" w:sz="0" w:space="0" w:color="auto"/>
            <w:bottom w:val="none" w:sz="0" w:space="0" w:color="auto"/>
            <w:right w:val="none" w:sz="0" w:space="0" w:color="auto"/>
          </w:divBdr>
        </w:div>
        <w:div w:id="1753963143">
          <w:marLeft w:val="475"/>
          <w:marRight w:val="0"/>
          <w:marTop w:val="86"/>
          <w:marBottom w:val="60"/>
          <w:divBdr>
            <w:top w:val="none" w:sz="0" w:space="0" w:color="auto"/>
            <w:left w:val="none" w:sz="0" w:space="0" w:color="auto"/>
            <w:bottom w:val="none" w:sz="0" w:space="0" w:color="auto"/>
            <w:right w:val="none" w:sz="0" w:space="0" w:color="auto"/>
          </w:divBdr>
        </w:div>
        <w:div w:id="1772314478">
          <w:marLeft w:val="475"/>
          <w:marRight w:val="0"/>
          <w:marTop w:val="86"/>
          <w:marBottom w:val="60"/>
          <w:divBdr>
            <w:top w:val="none" w:sz="0" w:space="0" w:color="auto"/>
            <w:left w:val="none" w:sz="0" w:space="0" w:color="auto"/>
            <w:bottom w:val="none" w:sz="0" w:space="0" w:color="auto"/>
            <w:right w:val="none" w:sz="0" w:space="0" w:color="auto"/>
          </w:divBdr>
        </w:div>
        <w:div w:id="2098673926">
          <w:marLeft w:val="994"/>
          <w:marRight w:val="0"/>
          <w:marTop w:val="77"/>
          <w:marBottom w:val="120"/>
          <w:divBdr>
            <w:top w:val="none" w:sz="0" w:space="0" w:color="auto"/>
            <w:left w:val="none" w:sz="0" w:space="0" w:color="auto"/>
            <w:bottom w:val="none" w:sz="0" w:space="0" w:color="auto"/>
            <w:right w:val="none" w:sz="0" w:space="0" w:color="auto"/>
          </w:divBdr>
        </w:div>
        <w:div w:id="2129658800">
          <w:marLeft w:val="994"/>
          <w:marRight w:val="0"/>
          <w:marTop w:val="77"/>
          <w:marBottom w:val="120"/>
          <w:divBdr>
            <w:top w:val="none" w:sz="0" w:space="0" w:color="auto"/>
            <w:left w:val="none" w:sz="0" w:space="0" w:color="auto"/>
            <w:bottom w:val="none" w:sz="0" w:space="0" w:color="auto"/>
            <w:right w:val="none" w:sz="0" w:space="0" w:color="auto"/>
          </w:divBdr>
        </w:div>
      </w:divsChild>
    </w:div>
    <w:div w:id="2083289885">
      <w:bodyDiv w:val="1"/>
      <w:marLeft w:val="0"/>
      <w:marRight w:val="0"/>
      <w:marTop w:val="0"/>
      <w:marBottom w:val="0"/>
      <w:divBdr>
        <w:top w:val="none" w:sz="0" w:space="0" w:color="auto"/>
        <w:left w:val="none" w:sz="0" w:space="0" w:color="auto"/>
        <w:bottom w:val="none" w:sz="0" w:space="0" w:color="auto"/>
        <w:right w:val="none" w:sz="0" w:space="0" w:color="auto"/>
      </w:divBdr>
    </w:div>
    <w:div w:id="2093121203">
      <w:bodyDiv w:val="1"/>
      <w:marLeft w:val="0"/>
      <w:marRight w:val="0"/>
      <w:marTop w:val="0"/>
      <w:marBottom w:val="0"/>
      <w:divBdr>
        <w:top w:val="none" w:sz="0" w:space="0" w:color="auto"/>
        <w:left w:val="none" w:sz="0" w:space="0" w:color="auto"/>
        <w:bottom w:val="none" w:sz="0" w:space="0" w:color="auto"/>
        <w:right w:val="none" w:sz="0" w:space="0" w:color="auto"/>
      </w:divBdr>
      <w:divsChild>
        <w:div w:id="1203592005">
          <w:marLeft w:val="0"/>
          <w:marRight w:val="0"/>
          <w:marTop w:val="0"/>
          <w:marBottom w:val="0"/>
          <w:divBdr>
            <w:top w:val="none" w:sz="0" w:space="0" w:color="auto"/>
            <w:left w:val="none" w:sz="0" w:space="0" w:color="auto"/>
            <w:bottom w:val="none" w:sz="0" w:space="0" w:color="auto"/>
            <w:right w:val="none" w:sz="0" w:space="0" w:color="auto"/>
          </w:divBdr>
        </w:div>
      </w:divsChild>
    </w:div>
    <w:div w:id="2096777632">
      <w:bodyDiv w:val="1"/>
      <w:marLeft w:val="0"/>
      <w:marRight w:val="0"/>
      <w:marTop w:val="0"/>
      <w:marBottom w:val="0"/>
      <w:divBdr>
        <w:top w:val="none" w:sz="0" w:space="0" w:color="auto"/>
        <w:left w:val="none" w:sz="0" w:space="0" w:color="auto"/>
        <w:bottom w:val="none" w:sz="0" w:space="0" w:color="auto"/>
        <w:right w:val="none" w:sz="0" w:space="0" w:color="auto"/>
      </w:divBdr>
    </w:div>
    <w:div w:id="2097969995">
      <w:bodyDiv w:val="1"/>
      <w:marLeft w:val="0"/>
      <w:marRight w:val="0"/>
      <w:marTop w:val="0"/>
      <w:marBottom w:val="0"/>
      <w:divBdr>
        <w:top w:val="none" w:sz="0" w:space="0" w:color="auto"/>
        <w:left w:val="none" w:sz="0" w:space="0" w:color="auto"/>
        <w:bottom w:val="none" w:sz="0" w:space="0" w:color="auto"/>
        <w:right w:val="none" w:sz="0" w:space="0" w:color="auto"/>
      </w:divBdr>
    </w:div>
    <w:div w:id="21167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na-dsb.com/upi-fee-model-consultation-2021/" TargetMode="External"/><Relationship Id="rId18" Type="http://schemas.openxmlformats.org/officeDocument/2006/relationships/hyperlink" Target="https://www.iso20022.org/" TargetMode="External"/><Relationship Id="rId26" Type="http://schemas.openxmlformats.org/officeDocument/2006/relationships/hyperlink" Target="https://prod.anna-dsb.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dustry_consultation@anna-dsb.com" TargetMode="External"/><Relationship Id="rId17" Type="http://schemas.openxmlformats.org/officeDocument/2006/relationships/hyperlink" Target="https://www.iso.org/standard/77308.html" TargetMode="External"/><Relationship Id="rId25" Type="http://schemas.openxmlformats.org/officeDocument/2006/relationships/hyperlink" Target="https://prod.anna-dsb.com/"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so.org/standard/80506.html" TargetMode="External"/><Relationship Id="rId20" Type="http://schemas.openxmlformats.org/officeDocument/2006/relationships/image" Target="media/image2.png"/><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prod.anna-dsb.com/" TargetMode="External"/><Relationship Id="rId32" Type="http://schemas.openxmlformats.org/officeDocument/2006/relationships/hyperlink" Target="https://anna-dsb-events.webex.com/anna-dsb-events/onstage/g.php?MTID=e9f9f75c9ca5cc571460cd89d0e08c35b"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nna-dsb-events.webex.com/anna-dsb-events/onstage/g.php?MTID=e9f9f75c9ca5cc571460cd89d0e08c35b" TargetMode="External"/><Relationship Id="rId23" Type="http://schemas.openxmlformats.org/officeDocument/2006/relationships/hyperlink" Target="https://www.anna-dsb.com/upi-fee-model-consultation-2021/" TargetMode="External"/><Relationship Id="rId28" Type="http://schemas.openxmlformats.org/officeDocument/2006/relationships/image" Target="media/image6.sv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so.org/standard/78829.html" TargetMode="External"/><Relationship Id="rId31" Type="http://schemas.openxmlformats.org/officeDocument/2006/relationships/hyperlink" Target="https://anna-dsb-events.webex.com/anna-dsb-events/onstage/g.php?MTID=edbd6e1153a1ab0aaea0440c586e004f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na-dsb-events.webex.com/anna-dsb-events/onstage/g.php?MTID=edbd6e1153a1ab0aaea0440c586e004f1" TargetMode="External"/><Relationship Id="rId22" Type="http://schemas.openxmlformats.org/officeDocument/2006/relationships/image" Target="media/image4.svg"/><Relationship Id="rId27" Type="http://schemas.openxmlformats.org/officeDocument/2006/relationships/image" Target="media/image5.png"/><Relationship Id="rId30" Type="http://schemas.openxmlformats.org/officeDocument/2006/relationships/hyperlink" Target="mailto:industry_consultation@anna-dsb.com"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bis.org/cpmi/publ/d158.pdf" TargetMode="External"/><Relationship Id="rId13" Type="http://schemas.openxmlformats.org/officeDocument/2006/relationships/hyperlink" Target="https://www.leiroc.org/publications/gls/roc_20201001-1.pdf" TargetMode="External"/><Relationship Id="rId18" Type="http://schemas.openxmlformats.org/officeDocument/2006/relationships/hyperlink" Target="https://www.fsb.org/2019/10/governance-arrangements-for-the-upi/" TargetMode="External"/><Relationship Id="rId26" Type="http://schemas.openxmlformats.org/officeDocument/2006/relationships/hyperlink" Target="https://anna-dsb-events.webex.com/anna-dsb-events/onstage/g.php?MTID=e9f9f75c9ca5cc571460cd89d0e08c35b" TargetMode="External"/><Relationship Id="rId3" Type="http://schemas.openxmlformats.org/officeDocument/2006/relationships/hyperlink" Target="https://www.iso.org/standard/80506.html" TargetMode="External"/><Relationship Id="rId21" Type="http://schemas.openxmlformats.org/officeDocument/2006/relationships/hyperlink" Target="https://www.anna-dsb.com/2020/04/27/so-whats-in-the-cfi-upi-and-otc-isin/" TargetMode="External"/><Relationship Id="rId7" Type="http://schemas.openxmlformats.org/officeDocument/2006/relationships/hyperlink" Target="http://www.bis.org/cpmi/publ/d169.htm" TargetMode="External"/><Relationship Id="rId12" Type="http://schemas.openxmlformats.org/officeDocument/2006/relationships/hyperlink" Target="https://www.fsb.org/2020/09/lei-roc-to-become-governance-body-for-otc-derivatives-identifiers/" TargetMode="External"/><Relationship Id="rId17" Type="http://schemas.openxmlformats.org/officeDocument/2006/relationships/hyperlink" Target="https://www.leiroc.org/about/membersandobservers/index.htm" TargetMode="External"/><Relationship Id="rId25" Type="http://schemas.openxmlformats.org/officeDocument/2006/relationships/hyperlink" Target="https://anna-dsb-events.webex.com/anna-dsb-events/onstage/g.php?MTID=edbd6e1153a1ab0aaea0440c586e004f1" TargetMode="External"/><Relationship Id="rId2" Type="http://schemas.openxmlformats.org/officeDocument/2006/relationships/hyperlink" Target="https://www.anna-dsb.com/upi-fee-model-consultation-2021/" TargetMode="External"/><Relationship Id="rId16" Type="http://schemas.openxmlformats.org/officeDocument/2006/relationships/hyperlink" Target="https://www.anna-dsb.com/technology-advisory-committee/" TargetMode="External"/><Relationship Id="rId20" Type="http://schemas.openxmlformats.org/officeDocument/2006/relationships/hyperlink" Target="https://www.anna-dsb.com/download/2021-industry-consultation-paper/" TargetMode="External"/><Relationship Id="rId1" Type="http://schemas.openxmlformats.org/officeDocument/2006/relationships/hyperlink" Target="https://www.fsb.org/2019/05/fsb-designates-dsb-as-unique-product-identifier-upi-service-provider/" TargetMode="External"/><Relationship Id="rId6" Type="http://schemas.openxmlformats.org/officeDocument/2006/relationships/hyperlink" Target="https://www.iso.org/standard/78829.html" TargetMode="External"/><Relationship Id="rId11" Type="http://schemas.openxmlformats.org/officeDocument/2006/relationships/hyperlink" Target="https://www.leiroc.org/publications/gls/roc_20201001-2.pdf" TargetMode="External"/><Relationship Id="rId24" Type="http://schemas.openxmlformats.org/officeDocument/2006/relationships/hyperlink" Target="https://www.esma.europa.eu/press-news/esma-news/esma-consults-mifir-reference-data-and-transaction-reporting" TargetMode="External"/><Relationship Id="rId5" Type="http://schemas.openxmlformats.org/officeDocument/2006/relationships/hyperlink" Target="https://www.iso20022.org/" TargetMode="External"/><Relationship Id="rId15" Type="http://schemas.openxmlformats.org/officeDocument/2006/relationships/hyperlink" Target="https://www.anna-dsb.com/product-committee/" TargetMode="External"/><Relationship Id="rId23" Type="http://schemas.openxmlformats.org/officeDocument/2006/relationships/hyperlink" Target="https://www.esma.europa.eu/press-news/esma-news/esma-consults-technical-standards-trade-repositories-under-emir-refit" TargetMode="External"/><Relationship Id="rId10" Type="http://schemas.openxmlformats.org/officeDocument/2006/relationships/hyperlink" Target="https://www.fsb.org/2019/10/governance-arrangements-for-the-upi/" TargetMode="External"/><Relationship Id="rId19" Type="http://schemas.openxmlformats.org/officeDocument/2006/relationships/hyperlink" Target="https://www.fsb.org/2019/10/governance-arrangements-for-the-upi/" TargetMode="External"/><Relationship Id="rId4" Type="http://schemas.openxmlformats.org/officeDocument/2006/relationships/hyperlink" Target="https://www.iso.org/standard/77308.html" TargetMode="External"/><Relationship Id="rId9" Type="http://schemas.openxmlformats.org/officeDocument/2006/relationships/hyperlink" Target="https://www.bis.org/cpmi/publ/d175.pdf" TargetMode="External"/><Relationship Id="rId14" Type="http://schemas.openxmlformats.org/officeDocument/2006/relationships/hyperlink" Target="https://committee.iso.org/sites/tc68/home/news/content-left-area/news-and-updates/unique-product-identifier-upi-ba.html" TargetMode="External"/><Relationship Id="rId22" Type="http://schemas.openxmlformats.org/officeDocument/2006/relationships/hyperlink" Target="https://www.anna-dsb.com/upi-q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62B59B0BE74F9B9C91775CDB3564DC"/>
        <w:category>
          <w:name w:val="General"/>
          <w:gallery w:val="placeholder"/>
        </w:category>
        <w:types>
          <w:type w:val="bbPlcHdr"/>
        </w:types>
        <w:behaviors>
          <w:behavior w:val="content"/>
        </w:behaviors>
        <w:guid w:val="{35B7BAA1-1306-4478-980C-D28B28C13152}"/>
      </w:docPartPr>
      <w:docPartBody>
        <w:p w:rsidR="00BD6870" w:rsidRDefault="00B1119F" w:rsidP="00B1119F">
          <w:pPr>
            <w:pStyle w:val="7462B59B0BE74F9B9C91775CDB3564DC"/>
          </w:pPr>
          <w:r>
            <w:rPr>
              <w:rFonts w:eastAsiaTheme="minorHAnsi"/>
            </w:rPr>
            <w:t>Select Type</w:t>
          </w:r>
        </w:p>
      </w:docPartBody>
    </w:docPart>
    <w:docPart>
      <w:docPartPr>
        <w:name w:val="584A6562C3074ADCA3EBC077366DCEF3"/>
        <w:category>
          <w:name w:val="General"/>
          <w:gallery w:val="placeholder"/>
        </w:category>
        <w:types>
          <w:type w:val="bbPlcHdr"/>
        </w:types>
        <w:behaviors>
          <w:behavior w:val="content"/>
        </w:behaviors>
        <w:guid w:val="{F41134F3-DB4D-42F3-8604-B3544556FBC9}"/>
      </w:docPartPr>
      <w:docPartBody>
        <w:p w:rsidR="00BD6870" w:rsidRDefault="00B1119F" w:rsidP="00B1119F">
          <w:pPr>
            <w:pStyle w:val="584A6562C3074ADCA3EBC077366DCEF3"/>
          </w:pPr>
          <w:r>
            <w:rPr>
              <w:rFonts w:eastAsiaTheme="minorHAnsi"/>
            </w:rPr>
            <w:t>Select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1"/>
    <w:rsid w:val="00020F71"/>
    <w:rsid w:val="00034067"/>
    <w:rsid w:val="00040B4A"/>
    <w:rsid w:val="00052C06"/>
    <w:rsid w:val="000823C4"/>
    <w:rsid w:val="00094F89"/>
    <w:rsid w:val="00101131"/>
    <w:rsid w:val="00132EAB"/>
    <w:rsid w:val="00150304"/>
    <w:rsid w:val="00190CDB"/>
    <w:rsid w:val="001B0265"/>
    <w:rsid w:val="001F78CF"/>
    <w:rsid w:val="00216288"/>
    <w:rsid w:val="002971F2"/>
    <w:rsid w:val="002B238A"/>
    <w:rsid w:val="00340651"/>
    <w:rsid w:val="00364EB1"/>
    <w:rsid w:val="00365585"/>
    <w:rsid w:val="00405BD4"/>
    <w:rsid w:val="00436698"/>
    <w:rsid w:val="00454F36"/>
    <w:rsid w:val="00472551"/>
    <w:rsid w:val="00477BB2"/>
    <w:rsid w:val="004F145C"/>
    <w:rsid w:val="00570A1D"/>
    <w:rsid w:val="00634C8B"/>
    <w:rsid w:val="006B711A"/>
    <w:rsid w:val="006E50F9"/>
    <w:rsid w:val="007104C7"/>
    <w:rsid w:val="00770CC1"/>
    <w:rsid w:val="007B0244"/>
    <w:rsid w:val="007C098F"/>
    <w:rsid w:val="0083415D"/>
    <w:rsid w:val="008651BC"/>
    <w:rsid w:val="008767B8"/>
    <w:rsid w:val="008966A9"/>
    <w:rsid w:val="00906B37"/>
    <w:rsid w:val="009144A4"/>
    <w:rsid w:val="00920B58"/>
    <w:rsid w:val="00A61B33"/>
    <w:rsid w:val="00A960C9"/>
    <w:rsid w:val="00AA1F74"/>
    <w:rsid w:val="00AB087B"/>
    <w:rsid w:val="00AD7AAE"/>
    <w:rsid w:val="00B0401B"/>
    <w:rsid w:val="00B1119F"/>
    <w:rsid w:val="00B21DE9"/>
    <w:rsid w:val="00B74A55"/>
    <w:rsid w:val="00B82631"/>
    <w:rsid w:val="00BB1EF7"/>
    <w:rsid w:val="00BD1A82"/>
    <w:rsid w:val="00BD6870"/>
    <w:rsid w:val="00BE377D"/>
    <w:rsid w:val="00D134C2"/>
    <w:rsid w:val="00DA7824"/>
    <w:rsid w:val="00DB102E"/>
    <w:rsid w:val="00DC2264"/>
    <w:rsid w:val="00E36B9C"/>
    <w:rsid w:val="00E37267"/>
    <w:rsid w:val="00E402CE"/>
    <w:rsid w:val="00E85CB4"/>
    <w:rsid w:val="00F035D8"/>
    <w:rsid w:val="00F1765C"/>
    <w:rsid w:val="00F4118C"/>
    <w:rsid w:val="00FA2592"/>
    <w:rsid w:val="00FB0868"/>
    <w:rsid w:val="00FC0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62B59B0BE74F9B9C91775CDB3564DC">
    <w:name w:val="7462B59B0BE74F9B9C91775CDB3564DC"/>
    <w:rsid w:val="00B1119F"/>
  </w:style>
  <w:style w:type="paragraph" w:customStyle="1" w:styleId="584A6562C3074ADCA3EBC077366DCEF3">
    <w:name w:val="584A6562C3074ADCA3EBC077366DCEF3"/>
    <w:rsid w:val="00B11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4DD07BC474A342B1736545077809B2" ma:contentTypeVersion="10" ma:contentTypeDescription="Create a new document." ma:contentTypeScope="" ma:versionID="aea213c34ce6753922ed536a9accd6c0">
  <xsd:schema xmlns:xsd="http://www.w3.org/2001/XMLSchema" xmlns:xs="http://www.w3.org/2001/XMLSchema" xmlns:p="http://schemas.microsoft.com/office/2006/metadata/properties" xmlns:ns2="59733063-40b5-4cc0-9055-2c0f0c39846a" xmlns:ns3="55b217b4-0474-40c2-9a3a-6135d1d470f1" targetNamespace="http://schemas.microsoft.com/office/2006/metadata/properties" ma:root="true" ma:fieldsID="e3981e3eeef12a07500fd8b1b3965c78" ns2:_="" ns3:_="">
    <xsd:import namespace="59733063-40b5-4cc0-9055-2c0f0c39846a"/>
    <xsd:import namespace="55b217b4-0474-40c2-9a3a-6135d1d470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33063-40b5-4cc0-9055-2c0f0c398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217b4-0474-40c2-9a3a-6135d1d47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AA81B-F48D-49E5-8AA3-8C13EFA940DD}">
  <ds:schemaRefs>
    <ds:schemaRef ds:uri="http://schemas.openxmlformats.org/officeDocument/2006/bibliography"/>
  </ds:schemaRefs>
</ds:datastoreItem>
</file>

<file path=customXml/itemProps2.xml><?xml version="1.0" encoding="utf-8"?>
<ds:datastoreItem xmlns:ds="http://schemas.openxmlformats.org/officeDocument/2006/customXml" ds:itemID="{C193B707-9799-4D0E-9480-B53088B99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33063-40b5-4cc0-9055-2c0f0c39846a"/>
    <ds:schemaRef ds:uri="55b217b4-0474-40c2-9a3a-6135d1d47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1783F-3867-4637-91E4-254072795836}">
  <ds:schemaRefs>
    <ds:schemaRef ds:uri="http://schemas.microsoft.com/sharepoint/v3/contenttype/forms"/>
  </ds:schemaRefs>
</ds:datastoreItem>
</file>

<file path=customXml/itemProps4.xml><?xml version="1.0" encoding="utf-8"?>
<ds:datastoreItem xmlns:ds="http://schemas.openxmlformats.org/officeDocument/2006/customXml" ds:itemID="{9B1E9802-2818-47FB-894E-72AA7A65E23F}">
  <ds:schemaRefs>
    <ds:schemaRef ds:uri="http://purl.org/dc/terms/"/>
    <ds:schemaRef ds:uri="59733063-40b5-4cc0-9055-2c0f0c39846a"/>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5b217b4-0474-40c2-9a3a-6135d1d470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13342</Words>
  <Characters>76051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89215</CharactersWithSpaces>
  <SharedDoc>false</SharedDoc>
  <HLinks>
    <vt:vector size="390" baseType="variant">
      <vt:variant>
        <vt:i4>3604577</vt:i4>
      </vt:variant>
      <vt:variant>
        <vt:i4>314</vt:i4>
      </vt:variant>
      <vt:variant>
        <vt:i4>0</vt:i4>
      </vt:variant>
      <vt:variant>
        <vt:i4>5</vt:i4>
      </vt:variant>
      <vt:variant>
        <vt:lpwstr>mailto:industry_consultation@anna-dsb.com</vt:lpwstr>
      </vt:variant>
      <vt:variant>
        <vt:lpwstr/>
      </vt:variant>
      <vt:variant>
        <vt:i4>458860</vt:i4>
      </vt:variant>
      <vt:variant>
        <vt:i4>311</vt:i4>
      </vt:variant>
      <vt:variant>
        <vt:i4>0</vt:i4>
      </vt:variant>
      <vt:variant>
        <vt:i4>5</vt:i4>
      </vt:variant>
      <vt:variant>
        <vt:lpwstr>https://anna-dsb-events.webex.com/mw3300/mywebex/default.do?nomenu=true&amp;siteurl=anna-dsb-events&amp;service=6&amp;rnd=0.6323793074468939&amp;main_url=https%3A%2F%2Fanna-dsb-events.webex.com%2Fec3300%2Feventcenter%2Fevent%2FeventAction.do%3FtheAction%3Ddetail%26%26%26EMK%3D4832534b000000040b9dad7cd56337816125fcb123dffa771071fac035d16b0186cfdd03695bf81e%26siteurl%3Danna-dsb-events%26confViewID%3D157878940113917838%26encryptTicket%3DSDJTSwAAAAS2geZ4eu3Xyi5998HkuMk0nvFeHwLsyYfg1t4sRWIr_w2%26</vt:lpwstr>
      </vt:variant>
      <vt:variant>
        <vt:lpwstr/>
      </vt:variant>
      <vt:variant>
        <vt:i4>458860</vt:i4>
      </vt:variant>
      <vt:variant>
        <vt:i4>308</vt:i4>
      </vt:variant>
      <vt:variant>
        <vt:i4>0</vt:i4>
      </vt:variant>
      <vt:variant>
        <vt:i4>5</vt:i4>
      </vt:variant>
      <vt:variant>
        <vt:lpwstr>https://anna-dsb-events.webex.com/mw3300/mywebex/default.do?nomenu=true&amp;siteurl=anna-dsb-events&amp;service=6&amp;rnd=0.6323793074468939&amp;main_url=https%3A%2F%2Fanna-dsb-events.webex.com%2Fec3300%2Feventcenter%2Fevent%2FeventAction.do%3FtheAction%3Ddetail%26%26%26EMK%3D4832534b000000040b9dad7cd56337816125fcb123dffa771071fac035d16b0186cfdd03695bf81e%26siteurl%3Danna-dsb-events%26confViewID%3D157878940113917838%26encryptTicket%3DSDJTSwAAAAS2geZ4eu3Xyi5998HkuMk0nvFeHwLsyYfg1t4sRWIr_w2%26</vt:lpwstr>
      </vt:variant>
      <vt:variant>
        <vt:lpwstr/>
      </vt:variant>
      <vt:variant>
        <vt:i4>3604577</vt:i4>
      </vt:variant>
      <vt:variant>
        <vt:i4>305</vt:i4>
      </vt:variant>
      <vt:variant>
        <vt:i4>0</vt:i4>
      </vt:variant>
      <vt:variant>
        <vt:i4>5</vt:i4>
      </vt:variant>
      <vt:variant>
        <vt:lpwstr>mailto:industry_consultation@anna-dsb.com</vt:lpwstr>
      </vt:variant>
      <vt:variant>
        <vt:lpwstr/>
      </vt:variant>
      <vt:variant>
        <vt:i4>3670134</vt:i4>
      </vt:variant>
      <vt:variant>
        <vt:i4>216</vt:i4>
      </vt:variant>
      <vt:variant>
        <vt:i4>0</vt:i4>
      </vt:variant>
      <vt:variant>
        <vt:i4>5</vt:i4>
      </vt:variant>
      <vt:variant>
        <vt:lpwstr>https://prod.anna-dsb.com/</vt:lpwstr>
      </vt:variant>
      <vt:variant>
        <vt:lpwstr/>
      </vt:variant>
      <vt:variant>
        <vt:i4>3670134</vt:i4>
      </vt:variant>
      <vt:variant>
        <vt:i4>213</vt:i4>
      </vt:variant>
      <vt:variant>
        <vt:i4>0</vt:i4>
      </vt:variant>
      <vt:variant>
        <vt:i4>5</vt:i4>
      </vt:variant>
      <vt:variant>
        <vt:lpwstr>https://prod.anna-dsb.com/</vt:lpwstr>
      </vt:variant>
      <vt:variant>
        <vt:lpwstr/>
      </vt:variant>
      <vt:variant>
        <vt:i4>3670134</vt:i4>
      </vt:variant>
      <vt:variant>
        <vt:i4>210</vt:i4>
      </vt:variant>
      <vt:variant>
        <vt:i4>0</vt:i4>
      </vt:variant>
      <vt:variant>
        <vt:i4>5</vt:i4>
      </vt:variant>
      <vt:variant>
        <vt:lpwstr>https://prod.anna-dsb.com/</vt:lpwstr>
      </vt:variant>
      <vt:variant>
        <vt:lpwstr/>
      </vt:variant>
      <vt:variant>
        <vt:i4>6553653</vt:i4>
      </vt:variant>
      <vt:variant>
        <vt:i4>195</vt:i4>
      </vt:variant>
      <vt:variant>
        <vt:i4>0</vt:i4>
      </vt:variant>
      <vt:variant>
        <vt:i4>5</vt:i4>
      </vt:variant>
      <vt:variant>
        <vt:lpwstr>https://www.iso.org/standard/78829.html</vt:lpwstr>
      </vt:variant>
      <vt:variant>
        <vt:lpwstr/>
      </vt:variant>
      <vt:variant>
        <vt:i4>196632</vt:i4>
      </vt:variant>
      <vt:variant>
        <vt:i4>192</vt:i4>
      </vt:variant>
      <vt:variant>
        <vt:i4>0</vt:i4>
      </vt:variant>
      <vt:variant>
        <vt:i4>5</vt:i4>
      </vt:variant>
      <vt:variant>
        <vt:lpwstr>https://www.iso20022.org/</vt:lpwstr>
      </vt:variant>
      <vt:variant>
        <vt:lpwstr/>
      </vt:variant>
      <vt:variant>
        <vt:i4>7209016</vt:i4>
      </vt:variant>
      <vt:variant>
        <vt:i4>189</vt:i4>
      </vt:variant>
      <vt:variant>
        <vt:i4>0</vt:i4>
      </vt:variant>
      <vt:variant>
        <vt:i4>5</vt:i4>
      </vt:variant>
      <vt:variant>
        <vt:lpwstr>https://www.iso.org/standard/77308.html</vt:lpwstr>
      </vt:variant>
      <vt:variant>
        <vt:lpwstr/>
      </vt:variant>
      <vt:variant>
        <vt:i4>6881343</vt:i4>
      </vt:variant>
      <vt:variant>
        <vt:i4>186</vt:i4>
      </vt:variant>
      <vt:variant>
        <vt:i4>0</vt:i4>
      </vt:variant>
      <vt:variant>
        <vt:i4>5</vt:i4>
      </vt:variant>
      <vt:variant>
        <vt:lpwstr>https://www.iso.org/standard/80506.html</vt:lpwstr>
      </vt:variant>
      <vt:variant>
        <vt:lpwstr/>
      </vt:variant>
      <vt:variant>
        <vt:i4>3080252</vt:i4>
      </vt:variant>
      <vt:variant>
        <vt:i4>183</vt:i4>
      </vt:variant>
      <vt:variant>
        <vt:i4>0</vt:i4>
      </vt:variant>
      <vt:variant>
        <vt:i4>5</vt:i4>
      </vt:variant>
      <vt:variant>
        <vt:lpwstr>https://anna-dsb-events.webex.com/anna-dsb-events/onstage/g.php?MTID=e9f9f75c9ca5cc571460cd89d0e08c35b</vt:lpwstr>
      </vt:variant>
      <vt:variant>
        <vt:lpwstr/>
      </vt:variant>
      <vt:variant>
        <vt:i4>917595</vt:i4>
      </vt:variant>
      <vt:variant>
        <vt:i4>180</vt:i4>
      </vt:variant>
      <vt:variant>
        <vt:i4>0</vt:i4>
      </vt:variant>
      <vt:variant>
        <vt:i4>5</vt:i4>
      </vt:variant>
      <vt:variant>
        <vt:lpwstr>https://www.anna-dsb.com/upi-fee-model-consultation-2021/</vt:lpwstr>
      </vt:variant>
      <vt:variant>
        <vt:lpwstr/>
      </vt:variant>
      <vt:variant>
        <vt:i4>3604577</vt:i4>
      </vt:variant>
      <vt:variant>
        <vt:i4>177</vt:i4>
      </vt:variant>
      <vt:variant>
        <vt:i4>0</vt:i4>
      </vt:variant>
      <vt:variant>
        <vt:i4>5</vt:i4>
      </vt:variant>
      <vt:variant>
        <vt:lpwstr>mailto:industry_consultation@anna-dsb.com</vt:lpwstr>
      </vt:variant>
      <vt:variant>
        <vt:lpwstr/>
      </vt:variant>
      <vt:variant>
        <vt:i4>1441850</vt:i4>
      </vt:variant>
      <vt:variant>
        <vt:i4>158</vt:i4>
      </vt:variant>
      <vt:variant>
        <vt:i4>0</vt:i4>
      </vt:variant>
      <vt:variant>
        <vt:i4>5</vt:i4>
      </vt:variant>
      <vt:variant>
        <vt:lpwstr/>
      </vt:variant>
      <vt:variant>
        <vt:lpwstr>_Toc60933361</vt:lpwstr>
      </vt:variant>
      <vt:variant>
        <vt:i4>1507386</vt:i4>
      </vt:variant>
      <vt:variant>
        <vt:i4>152</vt:i4>
      </vt:variant>
      <vt:variant>
        <vt:i4>0</vt:i4>
      </vt:variant>
      <vt:variant>
        <vt:i4>5</vt:i4>
      </vt:variant>
      <vt:variant>
        <vt:lpwstr/>
      </vt:variant>
      <vt:variant>
        <vt:lpwstr>_Toc60933360</vt:lpwstr>
      </vt:variant>
      <vt:variant>
        <vt:i4>1966137</vt:i4>
      </vt:variant>
      <vt:variant>
        <vt:i4>146</vt:i4>
      </vt:variant>
      <vt:variant>
        <vt:i4>0</vt:i4>
      </vt:variant>
      <vt:variant>
        <vt:i4>5</vt:i4>
      </vt:variant>
      <vt:variant>
        <vt:lpwstr/>
      </vt:variant>
      <vt:variant>
        <vt:lpwstr>_Toc60933359</vt:lpwstr>
      </vt:variant>
      <vt:variant>
        <vt:i4>2031673</vt:i4>
      </vt:variant>
      <vt:variant>
        <vt:i4>140</vt:i4>
      </vt:variant>
      <vt:variant>
        <vt:i4>0</vt:i4>
      </vt:variant>
      <vt:variant>
        <vt:i4>5</vt:i4>
      </vt:variant>
      <vt:variant>
        <vt:lpwstr/>
      </vt:variant>
      <vt:variant>
        <vt:lpwstr>_Toc60933358</vt:lpwstr>
      </vt:variant>
      <vt:variant>
        <vt:i4>1048633</vt:i4>
      </vt:variant>
      <vt:variant>
        <vt:i4>134</vt:i4>
      </vt:variant>
      <vt:variant>
        <vt:i4>0</vt:i4>
      </vt:variant>
      <vt:variant>
        <vt:i4>5</vt:i4>
      </vt:variant>
      <vt:variant>
        <vt:lpwstr/>
      </vt:variant>
      <vt:variant>
        <vt:lpwstr>_Toc60933357</vt:lpwstr>
      </vt:variant>
      <vt:variant>
        <vt:i4>1114169</vt:i4>
      </vt:variant>
      <vt:variant>
        <vt:i4>128</vt:i4>
      </vt:variant>
      <vt:variant>
        <vt:i4>0</vt:i4>
      </vt:variant>
      <vt:variant>
        <vt:i4>5</vt:i4>
      </vt:variant>
      <vt:variant>
        <vt:lpwstr/>
      </vt:variant>
      <vt:variant>
        <vt:lpwstr>_Toc60933356</vt:lpwstr>
      </vt:variant>
      <vt:variant>
        <vt:i4>1179705</vt:i4>
      </vt:variant>
      <vt:variant>
        <vt:i4>122</vt:i4>
      </vt:variant>
      <vt:variant>
        <vt:i4>0</vt:i4>
      </vt:variant>
      <vt:variant>
        <vt:i4>5</vt:i4>
      </vt:variant>
      <vt:variant>
        <vt:lpwstr/>
      </vt:variant>
      <vt:variant>
        <vt:lpwstr>_Toc60933355</vt:lpwstr>
      </vt:variant>
      <vt:variant>
        <vt:i4>1245241</vt:i4>
      </vt:variant>
      <vt:variant>
        <vt:i4>116</vt:i4>
      </vt:variant>
      <vt:variant>
        <vt:i4>0</vt:i4>
      </vt:variant>
      <vt:variant>
        <vt:i4>5</vt:i4>
      </vt:variant>
      <vt:variant>
        <vt:lpwstr/>
      </vt:variant>
      <vt:variant>
        <vt:lpwstr>_Toc60933354</vt:lpwstr>
      </vt:variant>
      <vt:variant>
        <vt:i4>1310777</vt:i4>
      </vt:variant>
      <vt:variant>
        <vt:i4>110</vt:i4>
      </vt:variant>
      <vt:variant>
        <vt:i4>0</vt:i4>
      </vt:variant>
      <vt:variant>
        <vt:i4>5</vt:i4>
      </vt:variant>
      <vt:variant>
        <vt:lpwstr/>
      </vt:variant>
      <vt:variant>
        <vt:lpwstr>_Toc60933353</vt:lpwstr>
      </vt:variant>
      <vt:variant>
        <vt:i4>1376313</vt:i4>
      </vt:variant>
      <vt:variant>
        <vt:i4>104</vt:i4>
      </vt:variant>
      <vt:variant>
        <vt:i4>0</vt:i4>
      </vt:variant>
      <vt:variant>
        <vt:i4>5</vt:i4>
      </vt:variant>
      <vt:variant>
        <vt:lpwstr/>
      </vt:variant>
      <vt:variant>
        <vt:lpwstr>_Toc60933352</vt:lpwstr>
      </vt:variant>
      <vt:variant>
        <vt:i4>1441849</vt:i4>
      </vt:variant>
      <vt:variant>
        <vt:i4>98</vt:i4>
      </vt:variant>
      <vt:variant>
        <vt:i4>0</vt:i4>
      </vt:variant>
      <vt:variant>
        <vt:i4>5</vt:i4>
      </vt:variant>
      <vt:variant>
        <vt:lpwstr/>
      </vt:variant>
      <vt:variant>
        <vt:lpwstr>_Toc60933351</vt:lpwstr>
      </vt:variant>
      <vt:variant>
        <vt:i4>1507385</vt:i4>
      </vt:variant>
      <vt:variant>
        <vt:i4>92</vt:i4>
      </vt:variant>
      <vt:variant>
        <vt:i4>0</vt:i4>
      </vt:variant>
      <vt:variant>
        <vt:i4>5</vt:i4>
      </vt:variant>
      <vt:variant>
        <vt:lpwstr/>
      </vt:variant>
      <vt:variant>
        <vt:lpwstr>_Toc60933350</vt:lpwstr>
      </vt:variant>
      <vt:variant>
        <vt:i4>1966136</vt:i4>
      </vt:variant>
      <vt:variant>
        <vt:i4>86</vt:i4>
      </vt:variant>
      <vt:variant>
        <vt:i4>0</vt:i4>
      </vt:variant>
      <vt:variant>
        <vt:i4>5</vt:i4>
      </vt:variant>
      <vt:variant>
        <vt:lpwstr/>
      </vt:variant>
      <vt:variant>
        <vt:lpwstr>_Toc60933349</vt:lpwstr>
      </vt:variant>
      <vt:variant>
        <vt:i4>2031672</vt:i4>
      </vt:variant>
      <vt:variant>
        <vt:i4>80</vt:i4>
      </vt:variant>
      <vt:variant>
        <vt:i4>0</vt:i4>
      </vt:variant>
      <vt:variant>
        <vt:i4>5</vt:i4>
      </vt:variant>
      <vt:variant>
        <vt:lpwstr/>
      </vt:variant>
      <vt:variant>
        <vt:lpwstr>_Toc60933348</vt:lpwstr>
      </vt:variant>
      <vt:variant>
        <vt:i4>1048632</vt:i4>
      </vt:variant>
      <vt:variant>
        <vt:i4>74</vt:i4>
      </vt:variant>
      <vt:variant>
        <vt:i4>0</vt:i4>
      </vt:variant>
      <vt:variant>
        <vt:i4>5</vt:i4>
      </vt:variant>
      <vt:variant>
        <vt:lpwstr/>
      </vt:variant>
      <vt:variant>
        <vt:lpwstr>_Toc60933347</vt:lpwstr>
      </vt:variant>
      <vt:variant>
        <vt:i4>1114168</vt:i4>
      </vt:variant>
      <vt:variant>
        <vt:i4>68</vt:i4>
      </vt:variant>
      <vt:variant>
        <vt:i4>0</vt:i4>
      </vt:variant>
      <vt:variant>
        <vt:i4>5</vt:i4>
      </vt:variant>
      <vt:variant>
        <vt:lpwstr/>
      </vt:variant>
      <vt:variant>
        <vt:lpwstr>_Toc60933346</vt:lpwstr>
      </vt:variant>
      <vt:variant>
        <vt:i4>1179704</vt:i4>
      </vt:variant>
      <vt:variant>
        <vt:i4>62</vt:i4>
      </vt:variant>
      <vt:variant>
        <vt:i4>0</vt:i4>
      </vt:variant>
      <vt:variant>
        <vt:i4>5</vt:i4>
      </vt:variant>
      <vt:variant>
        <vt:lpwstr/>
      </vt:variant>
      <vt:variant>
        <vt:lpwstr>_Toc60933345</vt:lpwstr>
      </vt:variant>
      <vt:variant>
        <vt:i4>1245240</vt:i4>
      </vt:variant>
      <vt:variant>
        <vt:i4>56</vt:i4>
      </vt:variant>
      <vt:variant>
        <vt:i4>0</vt:i4>
      </vt:variant>
      <vt:variant>
        <vt:i4>5</vt:i4>
      </vt:variant>
      <vt:variant>
        <vt:lpwstr/>
      </vt:variant>
      <vt:variant>
        <vt:lpwstr>_Toc60933344</vt:lpwstr>
      </vt:variant>
      <vt:variant>
        <vt:i4>1310776</vt:i4>
      </vt:variant>
      <vt:variant>
        <vt:i4>50</vt:i4>
      </vt:variant>
      <vt:variant>
        <vt:i4>0</vt:i4>
      </vt:variant>
      <vt:variant>
        <vt:i4>5</vt:i4>
      </vt:variant>
      <vt:variant>
        <vt:lpwstr/>
      </vt:variant>
      <vt:variant>
        <vt:lpwstr>_Toc60933343</vt:lpwstr>
      </vt:variant>
      <vt:variant>
        <vt:i4>1376312</vt:i4>
      </vt:variant>
      <vt:variant>
        <vt:i4>44</vt:i4>
      </vt:variant>
      <vt:variant>
        <vt:i4>0</vt:i4>
      </vt:variant>
      <vt:variant>
        <vt:i4>5</vt:i4>
      </vt:variant>
      <vt:variant>
        <vt:lpwstr/>
      </vt:variant>
      <vt:variant>
        <vt:lpwstr>_Toc60933342</vt:lpwstr>
      </vt:variant>
      <vt:variant>
        <vt:i4>1441848</vt:i4>
      </vt:variant>
      <vt:variant>
        <vt:i4>38</vt:i4>
      </vt:variant>
      <vt:variant>
        <vt:i4>0</vt:i4>
      </vt:variant>
      <vt:variant>
        <vt:i4>5</vt:i4>
      </vt:variant>
      <vt:variant>
        <vt:lpwstr/>
      </vt:variant>
      <vt:variant>
        <vt:lpwstr>_Toc60933341</vt:lpwstr>
      </vt:variant>
      <vt:variant>
        <vt:i4>1507384</vt:i4>
      </vt:variant>
      <vt:variant>
        <vt:i4>32</vt:i4>
      </vt:variant>
      <vt:variant>
        <vt:i4>0</vt:i4>
      </vt:variant>
      <vt:variant>
        <vt:i4>5</vt:i4>
      </vt:variant>
      <vt:variant>
        <vt:lpwstr/>
      </vt:variant>
      <vt:variant>
        <vt:lpwstr>_Toc60933340</vt:lpwstr>
      </vt:variant>
      <vt:variant>
        <vt:i4>1966143</vt:i4>
      </vt:variant>
      <vt:variant>
        <vt:i4>26</vt:i4>
      </vt:variant>
      <vt:variant>
        <vt:i4>0</vt:i4>
      </vt:variant>
      <vt:variant>
        <vt:i4>5</vt:i4>
      </vt:variant>
      <vt:variant>
        <vt:lpwstr/>
      </vt:variant>
      <vt:variant>
        <vt:lpwstr>_Toc60933339</vt:lpwstr>
      </vt:variant>
      <vt:variant>
        <vt:i4>2031679</vt:i4>
      </vt:variant>
      <vt:variant>
        <vt:i4>20</vt:i4>
      </vt:variant>
      <vt:variant>
        <vt:i4>0</vt:i4>
      </vt:variant>
      <vt:variant>
        <vt:i4>5</vt:i4>
      </vt:variant>
      <vt:variant>
        <vt:lpwstr/>
      </vt:variant>
      <vt:variant>
        <vt:lpwstr>_Toc60933338</vt:lpwstr>
      </vt:variant>
      <vt:variant>
        <vt:i4>1048639</vt:i4>
      </vt:variant>
      <vt:variant>
        <vt:i4>14</vt:i4>
      </vt:variant>
      <vt:variant>
        <vt:i4>0</vt:i4>
      </vt:variant>
      <vt:variant>
        <vt:i4>5</vt:i4>
      </vt:variant>
      <vt:variant>
        <vt:lpwstr/>
      </vt:variant>
      <vt:variant>
        <vt:lpwstr>_Toc60933337</vt:lpwstr>
      </vt:variant>
      <vt:variant>
        <vt:i4>1114175</vt:i4>
      </vt:variant>
      <vt:variant>
        <vt:i4>8</vt:i4>
      </vt:variant>
      <vt:variant>
        <vt:i4>0</vt:i4>
      </vt:variant>
      <vt:variant>
        <vt:i4>5</vt:i4>
      </vt:variant>
      <vt:variant>
        <vt:lpwstr/>
      </vt:variant>
      <vt:variant>
        <vt:lpwstr>_Toc60933336</vt:lpwstr>
      </vt:variant>
      <vt:variant>
        <vt:i4>1179711</vt:i4>
      </vt:variant>
      <vt:variant>
        <vt:i4>2</vt:i4>
      </vt:variant>
      <vt:variant>
        <vt:i4>0</vt:i4>
      </vt:variant>
      <vt:variant>
        <vt:i4>5</vt:i4>
      </vt:variant>
      <vt:variant>
        <vt:lpwstr/>
      </vt:variant>
      <vt:variant>
        <vt:lpwstr>_Toc60933335</vt:lpwstr>
      </vt:variant>
      <vt:variant>
        <vt:i4>6160457</vt:i4>
      </vt:variant>
      <vt:variant>
        <vt:i4>75</vt:i4>
      </vt:variant>
      <vt:variant>
        <vt:i4>0</vt:i4>
      </vt:variant>
      <vt:variant>
        <vt:i4>5</vt:i4>
      </vt:variant>
      <vt:variant>
        <vt:lpwstr>https://www.esma.europa.eu/press-news/esma-news/esma-consults-mifir-reference-data-and-transaction-reporting</vt:lpwstr>
      </vt:variant>
      <vt:variant>
        <vt:lpwstr/>
      </vt:variant>
      <vt:variant>
        <vt:i4>5767195</vt:i4>
      </vt:variant>
      <vt:variant>
        <vt:i4>72</vt:i4>
      </vt:variant>
      <vt:variant>
        <vt:i4>0</vt:i4>
      </vt:variant>
      <vt:variant>
        <vt:i4>5</vt:i4>
      </vt:variant>
      <vt:variant>
        <vt:lpwstr>https://www.esma.europa.eu/press-news/esma-news/esma-consults-technical-standards-trade-repositories-under-emir-refit</vt:lpwstr>
      </vt:variant>
      <vt:variant>
        <vt:lpwstr/>
      </vt:variant>
      <vt:variant>
        <vt:i4>852035</vt:i4>
      </vt:variant>
      <vt:variant>
        <vt:i4>69</vt:i4>
      </vt:variant>
      <vt:variant>
        <vt:i4>0</vt:i4>
      </vt:variant>
      <vt:variant>
        <vt:i4>5</vt:i4>
      </vt:variant>
      <vt:variant>
        <vt:lpwstr>https://www.anna-dsb.com/upi-qa/</vt:lpwstr>
      </vt:variant>
      <vt:variant>
        <vt:lpwstr/>
      </vt:variant>
      <vt:variant>
        <vt:i4>5439576</vt:i4>
      </vt:variant>
      <vt:variant>
        <vt:i4>66</vt:i4>
      </vt:variant>
      <vt:variant>
        <vt:i4>0</vt:i4>
      </vt:variant>
      <vt:variant>
        <vt:i4>5</vt:i4>
      </vt:variant>
      <vt:variant>
        <vt:lpwstr>https://www.anna-dsb.com/2020/04/27/so-whats-in-the-cfi-upi-and-otc-isin/</vt:lpwstr>
      </vt:variant>
      <vt:variant>
        <vt:lpwstr/>
      </vt:variant>
      <vt:variant>
        <vt:i4>3801200</vt:i4>
      </vt:variant>
      <vt:variant>
        <vt:i4>63</vt:i4>
      </vt:variant>
      <vt:variant>
        <vt:i4>0</vt:i4>
      </vt:variant>
      <vt:variant>
        <vt:i4>5</vt:i4>
      </vt:variant>
      <vt:variant>
        <vt:lpwstr>https://www.anna-dsb.com/download/2021-industry-consultation-paper/</vt:lpwstr>
      </vt:variant>
      <vt:variant>
        <vt:lpwstr/>
      </vt:variant>
      <vt:variant>
        <vt:i4>4980737</vt:i4>
      </vt:variant>
      <vt:variant>
        <vt:i4>60</vt:i4>
      </vt:variant>
      <vt:variant>
        <vt:i4>0</vt:i4>
      </vt:variant>
      <vt:variant>
        <vt:i4>5</vt:i4>
      </vt:variant>
      <vt:variant>
        <vt:lpwstr>https://www.fsb.org/2019/10/governance-arrangements-for-the-upi/</vt:lpwstr>
      </vt:variant>
      <vt:variant>
        <vt:lpwstr/>
      </vt:variant>
      <vt:variant>
        <vt:i4>4980737</vt:i4>
      </vt:variant>
      <vt:variant>
        <vt:i4>57</vt:i4>
      </vt:variant>
      <vt:variant>
        <vt:i4>0</vt:i4>
      </vt:variant>
      <vt:variant>
        <vt:i4>5</vt:i4>
      </vt:variant>
      <vt:variant>
        <vt:lpwstr>https://www.fsb.org/2019/10/governance-arrangements-for-the-upi/</vt:lpwstr>
      </vt:variant>
      <vt:variant>
        <vt:lpwstr/>
      </vt:variant>
      <vt:variant>
        <vt:i4>4063340</vt:i4>
      </vt:variant>
      <vt:variant>
        <vt:i4>48</vt:i4>
      </vt:variant>
      <vt:variant>
        <vt:i4>0</vt:i4>
      </vt:variant>
      <vt:variant>
        <vt:i4>5</vt:i4>
      </vt:variant>
      <vt:variant>
        <vt:lpwstr>https://www.leiroc.org/about/membersandobservers/index.htm</vt:lpwstr>
      </vt:variant>
      <vt:variant>
        <vt:lpwstr/>
      </vt:variant>
      <vt:variant>
        <vt:i4>8192035</vt:i4>
      </vt:variant>
      <vt:variant>
        <vt:i4>45</vt:i4>
      </vt:variant>
      <vt:variant>
        <vt:i4>0</vt:i4>
      </vt:variant>
      <vt:variant>
        <vt:i4>5</vt:i4>
      </vt:variant>
      <vt:variant>
        <vt:lpwstr>https://www.anna-dsb.com/technology-advisory-committee/</vt:lpwstr>
      </vt:variant>
      <vt:variant>
        <vt:lpwstr/>
      </vt:variant>
      <vt:variant>
        <vt:i4>2555956</vt:i4>
      </vt:variant>
      <vt:variant>
        <vt:i4>42</vt:i4>
      </vt:variant>
      <vt:variant>
        <vt:i4>0</vt:i4>
      </vt:variant>
      <vt:variant>
        <vt:i4>5</vt:i4>
      </vt:variant>
      <vt:variant>
        <vt:lpwstr>https://www.anna-dsb.com/product-committee/</vt:lpwstr>
      </vt:variant>
      <vt:variant>
        <vt:lpwstr/>
      </vt:variant>
      <vt:variant>
        <vt:i4>6750266</vt:i4>
      </vt:variant>
      <vt:variant>
        <vt:i4>39</vt:i4>
      </vt:variant>
      <vt:variant>
        <vt:i4>0</vt:i4>
      </vt:variant>
      <vt:variant>
        <vt:i4>5</vt:i4>
      </vt:variant>
      <vt:variant>
        <vt:lpwstr>https://committee.iso.org/sites/tc68/home/news/content-left-area/news-and-updates/unique-product-identifier-upi-ba.html</vt:lpwstr>
      </vt:variant>
      <vt:variant>
        <vt:lpwstr/>
      </vt:variant>
      <vt:variant>
        <vt:i4>5439528</vt:i4>
      </vt:variant>
      <vt:variant>
        <vt:i4>36</vt:i4>
      </vt:variant>
      <vt:variant>
        <vt:i4>0</vt:i4>
      </vt:variant>
      <vt:variant>
        <vt:i4>5</vt:i4>
      </vt:variant>
      <vt:variant>
        <vt:lpwstr>https://www.leiroc.org/publications/gls/roc_20201001-1.pdf</vt:lpwstr>
      </vt:variant>
      <vt:variant>
        <vt:lpwstr/>
      </vt:variant>
      <vt:variant>
        <vt:i4>3604515</vt:i4>
      </vt:variant>
      <vt:variant>
        <vt:i4>33</vt:i4>
      </vt:variant>
      <vt:variant>
        <vt:i4>0</vt:i4>
      </vt:variant>
      <vt:variant>
        <vt:i4>5</vt:i4>
      </vt:variant>
      <vt:variant>
        <vt:lpwstr>https://www.fsb.org/2020/09/lei-roc-to-become-governance-body-for-otc-derivatives-identifiers/</vt:lpwstr>
      </vt:variant>
      <vt:variant>
        <vt:lpwstr/>
      </vt:variant>
      <vt:variant>
        <vt:i4>5242920</vt:i4>
      </vt:variant>
      <vt:variant>
        <vt:i4>30</vt:i4>
      </vt:variant>
      <vt:variant>
        <vt:i4>0</vt:i4>
      </vt:variant>
      <vt:variant>
        <vt:i4>5</vt:i4>
      </vt:variant>
      <vt:variant>
        <vt:lpwstr>https://www.leiroc.org/publications/gls/roc_20201001-2.pdf</vt:lpwstr>
      </vt:variant>
      <vt:variant>
        <vt:lpwstr/>
      </vt:variant>
      <vt:variant>
        <vt:i4>4980737</vt:i4>
      </vt:variant>
      <vt:variant>
        <vt:i4>27</vt:i4>
      </vt:variant>
      <vt:variant>
        <vt:i4>0</vt:i4>
      </vt:variant>
      <vt:variant>
        <vt:i4>5</vt:i4>
      </vt:variant>
      <vt:variant>
        <vt:lpwstr>https://www.fsb.org/2019/10/governance-arrangements-for-the-upi/</vt:lpwstr>
      </vt:variant>
      <vt:variant>
        <vt:lpwstr/>
      </vt:variant>
      <vt:variant>
        <vt:i4>6553720</vt:i4>
      </vt:variant>
      <vt:variant>
        <vt:i4>24</vt:i4>
      </vt:variant>
      <vt:variant>
        <vt:i4>0</vt:i4>
      </vt:variant>
      <vt:variant>
        <vt:i4>5</vt:i4>
      </vt:variant>
      <vt:variant>
        <vt:lpwstr>https://www.bis.org/cpmi/publ/d175.pdf</vt:lpwstr>
      </vt:variant>
      <vt:variant>
        <vt:lpwstr/>
      </vt:variant>
      <vt:variant>
        <vt:i4>6881402</vt:i4>
      </vt:variant>
      <vt:variant>
        <vt:i4>21</vt:i4>
      </vt:variant>
      <vt:variant>
        <vt:i4>0</vt:i4>
      </vt:variant>
      <vt:variant>
        <vt:i4>5</vt:i4>
      </vt:variant>
      <vt:variant>
        <vt:lpwstr>https://www.bis.org/cpmi/publ/d158.pdf</vt:lpwstr>
      </vt:variant>
      <vt:variant>
        <vt:lpwstr/>
      </vt:variant>
      <vt:variant>
        <vt:i4>131086</vt:i4>
      </vt:variant>
      <vt:variant>
        <vt:i4>18</vt:i4>
      </vt:variant>
      <vt:variant>
        <vt:i4>0</vt:i4>
      </vt:variant>
      <vt:variant>
        <vt:i4>5</vt:i4>
      </vt:variant>
      <vt:variant>
        <vt:lpwstr>http://www.bis.org/cpmi/publ/d169.htm</vt:lpwstr>
      </vt:variant>
      <vt:variant>
        <vt:lpwstr/>
      </vt:variant>
      <vt:variant>
        <vt:i4>6553653</vt:i4>
      </vt:variant>
      <vt:variant>
        <vt:i4>15</vt:i4>
      </vt:variant>
      <vt:variant>
        <vt:i4>0</vt:i4>
      </vt:variant>
      <vt:variant>
        <vt:i4>5</vt:i4>
      </vt:variant>
      <vt:variant>
        <vt:lpwstr>https://www.iso.org/standard/78829.html</vt:lpwstr>
      </vt:variant>
      <vt:variant>
        <vt:lpwstr/>
      </vt:variant>
      <vt:variant>
        <vt:i4>196632</vt:i4>
      </vt:variant>
      <vt:variant>
        <vt:i4>12</vt:i4>
      </vt:variant>
      <vt:variant>
        <vt:i4>0</vt:i4>
      </vt:variant>
      <vt:variant>
        <vt:i4>5</vt:i4>
      </vt:variant>
      <vt:variant>
        <vt:lpwstr>https://www.iso20022.org/</vt:lpwstr>
      </vt:variant>
      <vt:variant>
        <vt:lpwstr/>
      </vt:variant>
      <vt:variant>
        <vt:i4>7209016</vt:i4>
      </vt:variant>
      <vt:variant>
        <vt:i4>9</vt:i4>
      </vt:variant>
      <vt:variant>
        <vt:i4>0</vt:i4>
      </vt:variant>
      <vt:variant>
        <vt:i4>5</vt:i4>
      </vt:variant>
      <vt:variant>
        <vt:lpwstr>https://www.iso.org/standard/77308.html</vt:lpwstr>
      </vt:variant>
      <vt:variant>
        <vt:lpwstr/>
      </vt:variant>
      <vt:variant>
        <vt:i4>6881343</vt:i4>
      </vt:variant>
      <vt:variant>
        <vt:i4>6</vt:i4>
      </vt:variant>
      <vt:variant>
        <vt:i4>0</vt:i4>
      </vt:variant>
      <vt:variant>
        <vt:i4>5</vt:i4>
      </vt:variant>
      <vt:variant>
        <vt:lpwstr>https://www.iso.org/standard/80506.html</vt:lpwstr>
      </vt:variant>
      <vt:variant>
        <vt:lpwstr/>
      </vt:variant>
      <vt:variant>
        <vt:i4>917595</vt:i4>
      </vt:variant>
      <vt:variant>
        <vt:i4>3</vt:i4>
      </vt:variant>
      <vt:variant>
        <vt:i4>0</vt:i4>
      </vt:variant>
      <vt:variant>
        <vt:i4>5</vt:i4>
      </vt:variant>
      <vt:variant>
        <vt:lpwstr>https://www.anna-dsb.com/upi-fee-model-consultation-2021/</vt:lpwstr>
      </vt:variant>
      <vt:variant>
        <vt:lpwstr/>
      </vt:variant>
      <vt:variant>
        <vt:i4>983107</vt:i4>
      </vt:variant>
      <vt:variant>
        <vt:i4>0</vt:i4>
      </vt:variant>
      <vt:variant>
        <vt:i4>0</vt:i4>
      </vt:variant>
      <vt:variant>
        <vt:i4>5</vt:i4>
      </vt:variant>
      <vt:variant>
        <vt:lpwstr>https://www.fsb.org/2019/05/fsb-designates-dsb-as-unique-product-identifier-upi-service-provider/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2021-01-11T11:14:00Z</dcterms:created>
  <dcterms:modified xsi:type="dcterms:W3CDTF">2021-01-11T11:14:00Z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0x010100F94DD07BC474A342B1736545077809B2</vt:lpwstr>
  </property>
</Properties>
</file>